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90" w:lineRule="exact"/>
        <w:ind w:right="0"/>
        <w:jc w:val="both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 w:bidi="ar"/>
        </w:rPr>
        <w:t>泉州台商投资区分布式电源承载力提升措施报告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一、分布式电源接入电网承载力情况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righ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1.区域整体情况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截至2026年6月12日，全区已接入分布式电源20.088万千瓦，在途及轮候分布式电源6.351万千瓦，可开放并网容量区间36.08-56.22万千瓦，可开放容量评估等级为绿色。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0" w:afterAutospacing="0" w:line="240" w:lineRule="auto"/>
        <w:ind w:left="0" w:right="0" w:firstLine="560" w:firstLineChars="200"/>
        <w:jc w:val="center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kern w:val="2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kern w:val="2"/>
          <w:sz w:val="28"/>
          <w:szCs w:val="28"/>
          <w:lang w:val="en-US" w:eastAsia="zh-CN" w:bidi="ar"/>
        </w:rPr>
        <w:t>表1 泉州台商投资区承载力与可开放容量情况表   单位：MW</w:t>
      </w:r>
    </w:p>
    <w:tbl>
      <w:tblPr>
        <w:tblStyle w:val="7"/>
        <w:tblW w:w="84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954"/>
        <w:gridCol w:w="996"/>
        <w:gridCol w:w="879"/>
        <w:gridCol w:w="1115"/>
        <w:gridCol w:w="1340"/>
        <w:gridCol w:w="113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tblHeader/>
          <w:jc w:val="center"/>
        </w:trPr>
        <w:tc>
          <w:tcPr>
            <w:tcW w:w="8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承载力下限</w:t>
            </w:r>
          </w:p>
        </w:tc>
        <w:tc>
          <w:tcPr>
            <w:tcW w:w="9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承载力上限</w:t>
            </w:r>
          </w:p>
        </w:tc>
        <w:tc>
          <w:tcPr>
            <w:tcW w:w="8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已接容量</w:t>
            </w:r>
          </w:p>
        </w:tc>
        <w:tc>
          <w:tcPr>
            <w:tcW w:w="1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可开放并网容量下限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可开放并网容量上限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在途及轮候容量</w:t>
            </w:r>
          </w:p>
        </w:tc>
        <w:tc>
          <w:tcPr>
            <w:tcW w:w="11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可开放容量评估等级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8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惠安县</w:t>
            </w: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943.90</w:t>
            </w:r>
          </w:p>
        </w:tc>
        <w:tc>
          <w:tcPr>
            <w:tcW w:w="9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1145.34</w:t>
            </w:r>
          </w:p>
        </w:tc>
        <w:tc>
          <w:tcPr>
            <w:tcW w:w="8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200.88</w:t>
            </w:r>
          </w:p>
        </w:tc>
        <w:tc>
          <w:tcPr>
            <w:tcW w:w="1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360.77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562.21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63.51</w:t>
            </w:r>
          </w:p>
        </w:tc>
        <w:tc>
          <w:tcPr>
            <w:tcW w:w="11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绿色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kern w:val="2"/>
          <w:sz w:val="21"/>
          <w:szCs w:val="2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备注：本次测算以泉州地区截至2026年6月12日分布式光伏、电源、电网、负荷等数据为边界。按照《分布式电源接入电力系统承载力评估导则》（DL/T 2041-2025）规定，承载力上限为计划增配灵活调节资源场景下的承载力，下限为未增配灵活调节资源场景下的承载力，可开放并网容量=承载力-已接容量。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2.设备情况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截至2026年6月12日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，全区220千伏主变可开放容量评估等级均为绿色，红色有0台，黄色有0台。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110千伏主变可开放容量评估等级均为绿色，红色有0台，黄色有0台。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10千伏配变可开放容量评估等级为红色有14台，黄色有44台，总计58台。该58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台配变均因本级设备自身承载能力不足导致受限。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7" w:afterLines="50" w:afterAutospacing="0" w:line="590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"/>
        </w:rPr>
        <w:t>表2 分电压等级设备可开放容量评估等级分布表</w:t>
      </w:r>
    </w:p>
    <w:tbl>
      <w:tblPr>
        <w:tblStyle w:val="7"/>
        <w:tblW w:w="750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831"/>
        <w:gridCol w:w="837"/>
        <w:gridCol w:w="831"/>
        <w:gridCol w:w="905"/>
        <w:gridCol w:w="763"/>
        <w:gridCol w:w="837"/>
        <w:gridCol w:w="831"/>
        <w:gridCol w:w="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县（区）名称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220千伏主变可开放容量评估等级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110千伏主变可开放容量评估等级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35千伏主变可开放容量评估等级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10千伏配变可开放容量评估等级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红色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黄色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红色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黄色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红色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黄色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红色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  <w:lang w:val="en-US" w:eastAsia="zh-CN"/>
              </w:rPr>
              <w:t>44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二、分布式电源接入电网承载力提升措施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220、110千伏层面，泉州台商投资区无自身承载力不足受限设备。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yellow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10千伏公用配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变层面，泉州台商投资区共有58台配变受限。该58台配变均为本级受限，目前均已完成治理措施梳理，受限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配变拟通过惠安县供电公司电源包或业扩包项目进行解决，力争2026年9月底前解决排队（含在途）受限配变，其余受限配变根据增量项目答复意见，按照设备受限问题不过季原则进行整改。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71E64"/>
    <w:rsid w:val="00D80FCA"/>
    <w:rsid w:val="01AB1941"/>
    <w:rsid w:val="02A803E1"/>
    <w:rsid w:val="06FF63A6"/>
    <w:rsid w:val="12043BB8"/>
    <w:rsid w:val="15F07AB0"/>
    <w:rsid w:val="17AF7D29"/>
    <w:rsid w:val="1B545627"/>
    <w:rsid w:val="1C3A7327"/>
    <w:rsid w:val="21EA25D4"/>
    <w:rsid w:val="25164E59"/>
    <w:rsid w:val="25385A6B"/>
    <w:rsid w:val="2B94157D"/>
    <w:rsid w:val="2C227945"/>
    <w:rsid w:val="2E4A4709"/>
    <w:rsid w:val="306214C9"/>
    <w:rsid w:val="343C3A28"/>
    <w:rsid w:val="3541211C"/>
    <w:rsid w:val="36924560"/>
    <w:rsid w:val="3A650174"/>
    <w:rsid w:val="3DDF5986"/>
    <w:rsid w:val="42330CA9"/>
    <w:rsid w:val="47DA6044"/>
    <w:rsid w:val="4DF72B63"/>
    <w:rsid w:val="4E7B3657"/>
    <w:rsid w:val="549C0B44"/>
    <w:rsid w:val="6043293C"/>
    <w:rsid w:val="63F02409"/>
    <w:rsid w:val="64625908"/>
    <w:rsid w:val="6738005D"/>
    <w:rsid w:val="684974B8"/>
    <w:rsid w:val="6D120BD4"/>
    <w:rsid w:val="6FAA44EB"/>
    <w:rsid w:val="70E325A5"/>
    <w:rsid w:val="7892370F"/>
    <w:rsid w:val="7CE71E64"/>
    <w:rsid w:val="7FFB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tLeast"/>
      <w:ind w:left="0" w:right="0" w:firstLine="420" w:firstLineChars="200"/>
      <w:jc w:val="both"/>
    </w:pPr>
    <w:rPr>
      <w:rFonts w:hint="eastAsia" w:ascii="仿宋_GB2312" w:hAnsi="宋体" w:eastAsia="宋体" w:cs="Times New Roman"/>
      <w:spacing w:val="0"/>
      <w:kern w:val="2"/>
      <w:sz w:val="36"/>
      <w:szCs w:val="36"/>
      <w:lang w:val="en-US" w:eastAsia="zh-CN" w:bidi="ar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tLeast"/>
      <w:ind w:left="0" w:right="0"/>
      <w:jc w:val="both"/>
    </w:pPr>
    <w:rPr>
      <w:rFonts w:hint="default" w:ascii="Calibri" w:hAnsi="Calibri" w:eastAsia="宋体" w:cs="Times New Roman"/>
      <w:spacing w:val="0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0" w:beforeAutospacing="1" w:after="0" w:afterAutospacing="1" w:line="240" w:lineRule="auto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2026-06-11T07:42:00Z</dcterms:created>
  <dc:creator>林佳</dc:creator>
  <cp:lastModifiedBy>陈永超</cp:lastModifiedBy>
  <cp:lastPrinted>2026-06-16T02:44:00Z</cp:lastPrinted>
  <dcterms:modified xsi:type="dcterms:W3CDTF">2026-06-18T01:51:36Z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7D8001E792374367BABA91C1D72032DE</vt:lpwstr>
  </property>
</Properties>
</file>