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华文中宋"/>
          <w:b/>
          <w:color w:val="000000" w:themeColor="text1"/>
          <w:spacing w:val="160"/>
          <w:kern w:val="10"/>
          <w:sz w:val="52"/>
          <w:szCs w:val="52"/>
        </w:rPr>
      </w:pPr>
    </w:p>
    <w:p>
      <w:pPr>
        <w:pStyle w:val="21"/>
        <w:jc w:val="left"/>
        <w:rPr>
          <w:rFonts w:ascii="黑体" w:hAnsi="黑体" w:eastAsia="黑体"/>
          <w:b/>
          <w:color w:val="000000" w:themeColor="text1"/>
          <w:kern w:val="10"/>
          <w:sz w:val="52"/>
          <w:szCs w:val="52"/>
        </w:rPr>
      </w:pPr>
    </w:p>
    <w:p>
      <w:pPr>
        <w:pStyle w:val="21"/>
        <w:jc w:val="center"/>
        <w:rPr>
          <w:rFonts w:ascii="黑体" w:hAnsi="黑体" w:eastAsia="黑体"/>
          <w:b/>
          <w:color w:val="000000" w:themeColor="text1"/>
          <w:kern w:val="10"/>
          <w:sz w:val="52"/>
          <w:szCs w:val="52"/>
        </w:rPr>
      </w:pPr>
      <w:r>
        <w:rPr>
          <w:rFonts w:hint="eastAsia" w:ascii="黑体" w:hAnsi="黑体" w:eastAsia="黑体"/>
          <w:b/>
          <w:color w:val="000000" w:themeColor="text1"/>
          <w:kern w:val="10"/>
          <w:sz w:val="52"/>
          <w:szCs w:val="52"/>
        </w:rPr>
        <w:t>泉州台商投资区</w:t>
      </w:r>
    </w:p>
    <w:p>
      <w:pPr>
        <w:pStyle w:val="21"/>
        <w:jc w:val="center"/>
        <w:rPr>
          <w:rFonts w:ascii="黑体" w:hAnsi="黑体" w:eastAsia="黑体"/>
          <w:b/>
          <w:color w:val="000000" w:themeColor="text1"/>
          <w:kern w:val="10"/>
          <w:sz w:val="52"/>
          <w:szCs w:val="52"/>
        </w:rPr>
      </w:pPr>
      <w:r>
        <w:rPr>
          <w:rFonts w:hint="eastAsia" w:ascii="黑体" w:hAnsi="黑体" w:eastAsia="黑体"/>
          <w:b/>
          <w:color w:val="000000" w:themeColor="text1"/>
          <w:kern w:val="10"/>
          <w:sz w:val="52"/>
          <w:szCs w:val="52"/>
        </w:rPr>
        <w:t>三级农村物流网络体系</w:t>
      </w:r>
      <w:r>
        <w:rPr>
          <w:rFonts w:ascii="黑体" w:hAnsi="黑体" w:eastAsia="黑体"/>
          <w:b/>
          <w:color w:val="000000" w:themeColor="text1"/>
          <w:kern w:val="10"/>
          <w:sz w:val="52"/>
          <w:szCs w:val="52"/>
        </w:rPr>
        <w:t>规划</w:t>
      </w:r>
    </w:p>
    <w:p>
      <w:pPr>
        <w:jc w:val="left"/>
        <w:rPr>
          <w:rFonts w:ascii="Times New Roman" w:hAnsi="Times New Roman" w:eastAsia="黑体"/>
          <w:color w:val="000000" w:themeColor="text1"/>
          <w:kern w:val="10"/>
          <w:sz w:val="32"/>
          <w:szCs w:val="32"/>
        </w:rPr>
        <w:sectPr>
          <w:headerReference r:id="rId4" w:type="first"/>
          <w:footerReference r:id="rId6" w:type="first"/>
          <w:headerReference r:id="rId3" w:type="default"/>
          <w:footerReference r:id="rId5" w:type="default"/>
          <w:pgSz w:w="11907" w:h="16839"/>
          <w:pgMar w:top="1440" w:right="1701" w:bottom="1440" w:left="1797" w:header="851" w:footer="992" w:gutter="0"/>
          <w:pgNumType w:start="1"/>
          <w:cols w:space="720" w:num="1"/>
          <w:docGrid w:type="lines" w:linePitch="312" w:charSpace="0"/>
        </w:sectPr>
      </w:pPr>
    </w:p>
    <w:p>
      <w:pPr>
        <w:spacing w:before="0" w:after="0" w:line="360" w:lineRule="auto"/>
        <w:ind w:left="0" w:firstLine="0"/>
        <w:jc w:val="left"/>
        <w:rPr>
          <w:rFonts w:ascii="黑体" w:hAnsi="华文中宋" w:eastAsia="黑体"/>
          <w:color w:val="000000" w:themeColor="text1"/>
          <w:kern w:val="10"/>
          <w:sz w:val="32"/>
          <w:szCs w:val="32"/>
        </w:rPr>
      </w:pPr>
      <w:r>
        <w:rPr>
          <w:rFonts w:hint="eastAsia" w:ascii="黑体" w:hAnsi="华文中宋" w:eastAsia="黑体"/>
          <w:color w:val="000000" w:themeColor="text1"/>
          <w:kern w:val="10"/>
          <w:sz w:val="32"/>
          <w:szCs w:val="32"/>
        </w:rPr>
        <w:t>项目委托单位：</w:t>
      </w:r>
    </w:p>
    <w:p>
      <w:pPr>
        <w:spacing w:before="0" w:after="0" w:line="360" w:lineRule="auto"/>
        <w:ind w:left="0" w:firstLine="1350" w:firstLineChars="450"/>
        <w:jc w:val="left"/>
        <w:rPr>
          <w:rFonts w:ascii="黑体" w:hAnsi="华文中宋" w:eastAsia="黑体"/>
          <w:color w:val="000000" w:themeColor="text1"/>
          <w:kern w:val="10"/>
          <w:sz w:val="30"/>
          <w:szCs w:val="30"/>
        </w:rPr>
      </w:pPr>
      <w:r>
        <w:rPr>
          <w:rFonts w:ascii="黑体" w:hAnsi="华文中宋" w:eastAsia="黑体"/>
          <w:color w:val="000000" w:themeColor="text1"/>
          <w:kern w:val="10"/>
          <w:sz w:val="30"/>
          <w:szCs w:val="30"/>
        </w:rPr>
        <w:t>泉州台商投资区</w:t>
      </w:r>
      <w:r>
        <w:rPr>
          <w:rFonts w:hint="eastAsia" w:ascii="黑体" w:hAnsi="华文中宋" w:eastAsia="黑体"/>
          <w:color w:val="000000" w:themeColor="text1"/>
          <w:kern w:val="10"/>
          <w:sz w:val="30"/>
          <w:szCs w:val="30"/>
        </w:rPr>
        <w:t>规划建设与交通运输局</w:t>
      </w:r>
    </w:p>
    <w:p>
      <w:pPr>
        <w:spacing w:before="0" w:after="0" w:line="360" w:lineRule="auto"/>
        <w:ind w:left="0" w:firstLine="0"/>
        <w:jc w:val="left"/>
        <w:rPr>
          <w:rFonts w:ascii="黑体" w:hAnsi="华文中宋" w:eastAsia="黑体"/>
          <w:color w:val="000000" w:themeColor="text1"/>
          <w:kern w:val="10"/>
          <w:sz w:val="32"/>
          <w:szCs w:val="32"/>
        </w:rPr>
      </w:pPr>
      <w:r>
        <w:rPr>
          <w:rFonts w:hint="eastAsia" w:ascii="黑体" w:hAnsi="华文中宋" w:eastAsia="黑体"/>
          <w:color w:val="000000" w:themeColor="text1"/>
          <w:kern w:val="10"/>
          <w:sz w:val="32"/>
          <w:szCs w:val="32"/>
        </w:rPr>
        <w:t>项目承担单位：</w:t>
      </w:r>
    </w:p>
    <w:p>
      <w:pPr>
        <w:spacing w:before="0" w:after="0" w:line="360" w:lineRule="auto"/>
        <w:ind w:left="0" w:firstLine="1350" w:firstLineChars="450"/>
        <w:jc w:val="left"/>
        <w:rPr>
          <w:rFonts w:ascii="黑体" w:hAnsi="华文中宋" w:eastAsia="黑体"/>
          <w:color w:val="000000" w:themeColor="text1"/>
          <w:kern w:val="10"/>
          <w:sz w:val="30"/>
          <w:szCs w:val="30"/>
        </w:rPr>
      </w:pPr>
      <w:r>
        <w:rPr>
          <w:rFonts w:hint="eastAsia" w:ascii="黑体" w:hAnsi="华文中宋" w:eastAsia="黑体"/>
          <w:color w:val="000000" w:themeColor="text1"/>
          <w:kern w:val="10"/>
          <w:sz w:val="30"/>
          <w:szCs w:val="30"/>
        </w:rPr>
        <w:t>福建船政交通职业学院</w:t>
      </w:r>
    </w:p>
    <w:p>
      <w:pPr>
        <w:spacing w:before="0" w:after="0" w:line="360" w:lineRule="auto"/>
        <w:ind w:left="0" w:firstLine="0"/>
        <w:jc w:val="left"/>
        <w:rPr>
          <w:rFonts w:ascii="黑体" w:hAnsi="华文中宋" w:eastAsia="黑体"/>
          <w:color w:val="000000" w:themeColor="text1"/>
          <w:kern w:val="10"/>
          <w:sz w:val="32"/>
          <w:szCs w:val="32"/>
        </w:rPr>
      </w:pPr>
      <w:r>
        <w:rPr>
          <w:rFonts w:hint="eastAsia" w:ascii="黑体" w:hAnsi="华文中宋" w:eastAsia="黑体"/>
          <w:color w:val="000000" w:themeColor="text1"/>
          <w:kern w:val="10"/>
          <w:sz w:val="32"/>
          <w:szCs w:val="32"/>
        </w:rPr>
        <w:t>项目顾问：</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丁尚光（泉州台商投资区管理委员会，副主任）</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李  明（泉州台商投资区规划建设与交通运输局，局长）</w:t>
      </w:r>
    </w:p>
    <w:p>
      <w:pPr>
        <w:spacing w:before="0" w:after="0" w:line="360" w:lineRule="auto"/>
        <w:ind w:left="0" w:firstLine="0"/>
        <w:jc w:val="left"/>
        <w:rPr>
          <w:rFonts w:ascii="黑体" w:hAnsi="华文中宋" w:eastAsia="黑体"/>
          <w:color w:val="000000" w:themeColor="text1"/>
          <w:kern w:val="10"/>
          <w:sz w:val="32"/>
          <w:szCs w:val="32"/>
        </w:rPr>
      </w:pPr>
      <w:r>
        <w:rPr>
          <w:rFonts w:hint="eastAsia" w:ascii="黑体" w:hAnsi="华文中宋" w:eastAsia="黑体"/>
          <w:color w:val="000000" w:themeColor="text1"/>
          <w:kern w:val="10"/>
          <w:sz w:val="32"/>
          <w:szCs w:val="32"/>
        </w:rPr>
        <w:t>项目审定：</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陈文彬（泉州台商投资区规划建设与交通运输局，副局长）</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李志飞（</w:t>
      </w:r>
      <w:r>
        <w:rPr>
          <w:color w:val="000000" w:themeColor="text1"/>
          <w:sz w:val="28"/>
          <w:szCs w:val="28"/>
        </w:rPr>
        <w:t>泉州台商投资区</w:t>
      </w:r>
      <w:r>
        <w:rPr>
          <w:rFonts w:hint="eastAsia"/>
          <w:color w:val="000000" w:themeColor="text1"/>
          <w:sz w:val="28"/>
          <w:szCs w:val="28"/>
        </w:rPr>
        <w:t>交通运输管理所，所长）</w:t>
      </w:r>
    </w:p>
    <w:p>
      <w:pPr>
        <w:spacing w:before="0" w:after="0" w:line="360" w:lineRule="auto"/>
        <w:ind w:left="0" w:firstLine="0"/>
        <w:jc w:val="left"/>
        <w:rPr>
          <w:rFonts w:ascii="黑体" w:hAnsi="华文中宋" w:eastAsia="黑体"/>
          <w:color w:val="000000" w:themeColor="text1"/>
          <w:kern w:val="10"/>
          <w:sz w:val="32"/>
          <w:szCs w:val="32"/>
        </w:rPr>
      </w:pPr>
      <w:r>
        <w:rPr>
          <w:rFonts w:hint="eastAsia" w:ascii="黑体" w:hAnsi="华文中宋" w:eastAsia="黑体"/>
          <w:color w:val="000000" w:themeColor="text1"/>
          <w:kern w:val="10"/>
          <w:sz w:val="32"/>
          <w:szCs w:val="32"/>
        </w:rPr>
        <w:t>项目负责：</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吴吉明（福建船政交通职业学院交通经济系，副教授）</w:t>
      </w:r>
    </w:p>
    <w:p>
      <w:pPr>
        <w:spacing w:before="0" w:after="0" w:line="360" w:lineRule="auto"/>
        <w:ind w:left="0" w:firstLine="0"/>
        <w:jc w:val="left"/>
        <w:rPr>
          <w:rFonts w:ascii="黑体" w:hAnsi="华文中宋" w:eastAsia="黑体"/>
          <w:color w:val="000000" w:themeColor="text1"/>
          <w:kern w:val="10"/>
          <w:sz w:val="32"/>
          <w:szCs w:val="32"/>
        </w:rPr>
      </w:pPr>
      <w:r>
        <w:rPr>
          <w:rFonts w:ascii="黑体" w:hAnsi="华文中宋" w:eastAsia="黑体"/>
          <w:color w:val="000000" w:themeColor="text1"/>
          <w:kern w:val="10"/>
          <w:sz w:val="32"/>
          <w:szCs w:val="32"/>
        </w:rPr>
        <w:t>泉州台商投资区</w:t>
      </w:r>
      <w:r>
        <w:rPr>
          <w:rFonts w:hint="eastAsia" w:ascii="黑体" w:hAnsi="华文中宋" w:eastAsia="黑体"/>
          <w:color w:val="000000" w:themeColor="text1"/>
          <w:kern w:val="10"/>
          <w:sz w:val="32"/>
          <w:szCs w:val="32"/>
        </w:rPr>
        <w:t>规划建设与交通运输局项目参与人员：</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林  芸（</w:t>
      </w:r>
      <w:r>
        <w:rPr>
          <w:color w:val="000000" w:themeColor="text1"/>
          <w:sz w:val="28"/>
          <w:szCs w:val="28"/>
        </w:rPr>
        <w:t>泉州台商投资区</w:t>
      </w:r>
      <w:r>
        <w:rPr>
          <w:rFonts w:hint="eastAsia"/>
          <w:color w:val="000000" w:themeColor="text1"/>
          <w:sz w:val="28"/>
          <w:szCs w:val="28"/>
        </w:rPr>
        <w:t>交通运输管理所，运管股股长）</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徐丽婷（</w:t>
      </w:r>
      <w:r>
        <w:rPr>
          <w:color w:val="000000" w:themeColor="text1"/>
          <w:sz w:val="28"/>
          <w:szCs w:val="28"/>
        </w:rPr>
        <w:t>泉州台商投资区</w:t>
      </w:r>
      <w:r>
        <w:rPr>
          <w:rFonts w:hint="eastAsia"/>
          <w:color w:val="000000" w:themeColor="text1"/>
          <w:sz w:val="28"/>
          <w:szCs w:val="28"/>
        </w:rPr>
        <w:t>交通运输管理所，综合股股长）</w:t>
      </w:r>
    </w:p>
    <w:p>
      <w:pPr>
        <w:spacing w:before="0" w:after="0" w:line="360" w:lineRule="auto"/>
        <w:ind w:left="0" w:firstLine="0"/>
        <w:jc w:val="left"/>
        <w:rPr>
          <w:rFonts w:ascii="黑体" w:hAnsi="华文中宋" w:eastAsia="黑体"/>
          <w:color w:val="000000" w:themeColor="text1"/>
          <w:kern w:val="10"/>
          <w:sz w:val="32"/>
          <w:szCs w:val="32"/>
        </w:rPr>
      </w:pPr>
      <w:r>
        <w:rPr>
          <w:rFonts w:hint="eastAsia" w:ascii="黑体" w:hAnsi="华文中宋" w:eastAsia="黑体"/>
          <w:color w:val="000000" w:themeColor="text1"/>
          <w:kern w:val="10"/>
          <w:sz w:val="32"/>
          <w:szCs w:val="32"/>
        </w:rPr>
        <w:t>福建船政交通职业学院项目参与人员：</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陈良云（讲师、硕士）</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王凤英（讲师、硕士）</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吴慧君（讲师、硕士）</w:t>
      </w:r>
    </w:p>
    <w:p>
      <w:pPr>
        <w:spacing w:before="0" w:after="0" w:line="360" w:lineRule="auto"/>
        <w:ind w:left="0" w:firstLine="1260" w:firstLineChars="450"/>
        <w:jc w:val="left"/>
        <w:rPr>
          <w:color w:val="000000" w:themeColor="text1"/>
          <w:sz w:val="28"/>
          <w:szCs w:val="28"/>
        </w:rPr>
      </w:pPr>
      <w:r>
        <w:rPr>
          <w:rFonts w:hint="eastAsia"/>
          <w:color w:val="000000" w:themeColor="text1"/>
          <w:sz w:val="28"/>
          <w:szCs w:val="28"/>
        </w:rPr>
        <w:t>俞丹俊（讲师、硕士）</w:t>
      </w:r>
    </w:p>
    <w:p>
      <w:pPr>
        <w:spacing w:before="0" w:after="0" w:line="360" w:lineRule="auto"/>
        <w:ind w:left="0" w:firstLine="1260" w:firstLineChars="450"/>
        <w:jc w:val="left"/>
        <w:rPr>
          <w:color w:val="000000" w:themeColor="text1"/>
          <w:sz w:val="28"/>
          <w:szCs w:val="28"/>
        </w:rPr>
        <w:sectPr>
          <w:headerReference r:id="rId7" w:type="default"/>
          <w:pgSz w:w="11907" w:h="16839"/>
          <w:pgMar w:top="1440" w:right="1797" w:bottom="1440" w:left="1797" w:header="680" w:footer="992" w:gutter="0"/>
          <w:pgBorders>
            <w:top w:val="double" w:color="auto" w:sz="4" w:space="17"/>
          </w:pgBorders>
          <w:pgNumType w:start="1"/>
          <w:cols w:space="425" w:num="1"/>
          <w:docGrid w:type="lines" w:linePitch="312" w:charSpace="0"/>
        </w:sectPr>
      </w:pPr>
      <w:r>
        <w:rPr>
          <w:rFonts w:hint="eastAsia"/>
          <w:color w:val="000000" w:themeColor="text1"/>
          <w:sz w:val="28"/>
          <w:szCs w:val="28"/>
        </w:rPr>
        <w:t>王薇娜（助教、硕士）</w:t>
      </w:r>
    </w:p>
    <w:p>
      <w:pPr>
        <w:jc w:val="center"/>
        <w:rPr>
          <w:rFonts w:ascii="Times New Roman" w:hAnsi="Times New Roman" w:eastAsia="华文中宋"/>
          <w:b/>
          <w:color w:val="000000" w:themeColor="text1"/>
          <w:spacing w:val="160"/>
          <w:kern w:val="10"/>
          <w:sz w:val="36"/>
          <w:szCs w:val="36"/>
        </w:rPr>
      </w:pPr>
      <w:r>
        <w:rPr>
          <w:rFonts w:ascii="Times New Roman" w:hAnsi="Times New Roman" w:eastAsia="华文中宋"/>
          <w:b/>
          <w:color w:val="000000" w:themeColor="text1"/>
          <w:spacing w:val="160"/>
          <w:kern w:val="10"/>
          <w:sz w:val="36"/>
          <w:szCs w:val="36"/>
        </w:rPr>
        <w:t>前言</w:t>
      </w:r>
    </w:p>
    <w:p>
      <w:pPr>
        <w:snapToGrid w:val="0"/>
        <w:spacing w:before="0" w:after="0" w:line="360" w:lineRule="auto"/>
        <w:ind w:left="0" w:firstLine="360" w:firstLineChars="200"/>
        <w:jc w:val="left"/>
        <w:rPr>
          <w:rFonts w:ascii="Times New Roman" w:hAnsi="Times New Roman"/>
          <w:color w:val="000000" w:themeColor="text1"/>
          <w:sz w:val="28"/>
          <w:szCs w:val="28"/>
        </w:rPr>
      </w:pPr>
      <w:r>
        <w:rPr>
          <w:rFonts w:ascii="Arial" w:hAnsi="Arial" w:cs="Arial"/>
          <w:color w:val="000000" w:themeColor="text1"/>
          <w:sz w:val="18"/>
          <w:szCs w:val="18"/>
        </w:rPr>
        <w:drawing>
          <wp:anchor distT="0" distB="0" distL="114300" distR="114300" simplePos="0" relativeHeight="251641856" behindDoc="0" locked="0" layoutInCell="1" allowOverlap="1">
            <wp:simplePos x="0" y="0"/>
            <wp:positionH relativeFrom="column">
              <wp:posOffset>247650</wp:posOffset>
            </wp:positionH>
            <wp:positionV relativeFrom="paragraph">
              <wp:posOffset>8255</wp:posOffset>
            </wp:positionV>
            <wp:extent cx="2762250" cy="1990725"/>
            <wp:effectExtent l="19050" t="0" r="0" b="0"/>
            <wp:wrapSquare wrapText="bothSides"/>
            <wp:docPr id="1" name="图片 1" descr="http://img1.gtimg.com/quanzhou_house/pics/hv1/233/113/161/10498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img1.gtimg.com/quanzhou_house/pics/hv1/233/113/161/10498073.png"/>
                    <pic:cNvPicPr>
                      <a:picLocks noChangeAspect="1" noChangeArrowheads="1"/>
                    </pic:cNvPicPr>
                  </pic:nvPicPr>
                  <pic:blipFill>
                    <a:blip r:embed="rId11" cstate="print"/>
                    <a:srcRect/>
                    <a:stretch>
                      <a:fillRect/>
                    </a:stretch>
                  </pic:blipFill>
                  <pic:spPr>
                    <a:xfrm>
                      <a:off x="0" y="0"/>
                      <a:ext cx="2762250" cy="1990725"/>
                    </a:xfrm>
                    <a:prstGeom prst="rect">
                      <a:avLst/>
                    </a:prstGeom>
                    <a:noFill/>
                    <a:ln w="9525">
                      <a:noFill/>
                      <a:miter lim="800000"/>
                      <a:headEnd/>
                      <a:tailEnd/>
                    </a:ln>
                  </pic:spPr>
                </pic:pic>
              </a:graphicData>
            </a:graphic>
          </wp:anchor>
        </w:drawing>
      </w:r>
      <w:r>
        <w:rPr>
          <w:rFonts w:ascii="Times New Roman" w:hAnsi="Times New Roman"/>
          <w:color w:val="000000" w:themeColor="text1"/>
          <w:sz w:val="28"/>
          <w:szCs w:val="28"/>
        </w:rPr>
        <w:t xml:space="preserve"> 泉州台商投资区成立于2010年，为国家级台商投资区，也是泉州国家高新技术产业开发区的主园区，下辖洛阳镇、东园镇、张坂镇、百崎乡，功能定位为生态型滨水城市新区和现代化港口保税物流园区，新区基础设施建设全面铺开，新区品牌效应持续升温，产业规模不断发展壮大，逐步朝着经济繁荣、社会和谐、文化多元、环境优美的生态型滨水新城区方向迈进。</w:t>
      </w:r>
    </w:p>
    <w:p>
      <w:pPr>
        <w:numPr>
          <w:ilvl w:val="0"/>
          <w:numId w:val="1"/>
        </w:numPr>
        <w:snapToGrid w:val="0"/>
        <w:spacing w:before="0" w:after="0" w:line="360" w:lineRule="auto"/>
        <w:jc w:val="left"/>
        <w:rPr>
          <w:rFonts w:ascii="宋体" w:hAnsi="宋体" w:cs="宋体"/>
          <w:color w:val="000000" w:themeColor="text1"/>
          <w:sz w:val="28"/>
          <w:szCs w:val="28"/>
        </w:rPr>
      </w:pPr>
      <w:r>
        <w:rPr>
          <w:rFonts w:hint="eastAsia" w:ascii="Times New Roman" w:hAnsi="Times New Roman"/>
          <w:color w:val="000000" w:themeColor="text1"/>
          <w:sz w:val="28"/>
          <w:szCs w:val="28"/>
        </w:rPr>
        <w:t>农村物流是县</w:t>
      </w:r>
      <w:r>
        <w:rPr>
          <w:rFonts w:hint="eastAsia" w:ascii="宋体" w:hAnsi="宋体" w:cs="宋体"/>
          <w:color w:val="000000" w:themeColor="text1"/>
          <w:sz w:val="28"/>
          <w:szCs w:val="28"/>
        </w:rPr>
        <w:t>（市、区）</w:t>
      </w:r>
      <w:r>
        <w:rPr>
          <w:rFonts w:hint="eastAsia" w:ascii="Times New Roman" w:hAnsi="Times New Roman"/>
          <w:color w:val="000000" w:themeColor="text1"/>
          <w:sz w:val="28"/>
          <w:szCs w:val="28"/>
        </w:rPr>
        <w:t>经济发展的重要基础，也是提升农民生活水平建设的重要组成部分。</w:t>
      </w:r>
      <w:r>
        <w:rPr>
          <w:rFonts w:ascii="Times New Roman" w:hAnsi="Times New Roman"/>
          <w:color w:val="000000" w:themeColor="text1"/>
          <w:sz w:val="28"/>
          <w:szCs w:val="28"/>
        </w:rPr>
        <w:t>泉州台商投资区</w:t>
      </w:r>
      <w:r>
        <w:rPr>
          <w:rFonts w:hint="eastAsia" w:ascii="Times New Roman" w:hAnsi="Times New Roman"/>
          <w:color w:val="000000" w:themeColor="text1"/>
          <w:sz w:val="28"/>
          <w:szCs w:val="28"/>
        </w:rPr>
        <w:t>管委会</w:t>
      </w:r>
      <w:r>
        <w:rPr>
          <w:rFonts w:ascii="Times New Roman" w:hAnsi="Times New Roman"/>
          <w:color w:val="000000" w:themeColor="text1"/>
          <w:sz w:val="28"/>
          <w:szCs w:val="28"/>
        </w:rPr>
        <w:t>提出</w:t>
      </w:r>
      <w:r>
        <w:rPr>
          <w:rFonts w:hint="eastAsia" w:ascii="Times New Roman" w:hAnsi="Times New Roman"/>
          <w:color w:val="000000" w:themeColor="text1"/>
          <w:sz w:val="28"/>
          <w:szCs w:val="28"/>
        </w:rPr>
        <w:t>要</w:t>
      </w:r>
      <w:r>
        <w:rPr>
          <w:rFonts w:ascii="Times New Roman" w:hAnsi="Times New Roman"/>
          <w:color w:val="000000" w:themeColor="text1"/>
          <w:sz w:val="28"/>
          <w:szCs w:val="28"/>
        </w:rPr>
        <w:t>持续</w:t>
      </w:r>
      <w:r>
        <w:rPr>
          <w:rFonts w:hint="eastAsia" w:ascii="Times New Roman" w:hAnsi="Times New Roman"/>
          <w:color w:val="000000" w:themeColor="text1"/>
          <w:sz w:val="28"/>
          <w:szCs w:val="28"/>
        </w:rPr>
        <w:t>加快服务农业现代化，首先要</w:t>
      </w:r>
      <w:r>
        <w:rPr>
          <w:rFonts w:ascii="Times New Roman" w:hAnsi="Times New Roman"/>
          <w:color w:val="000000" w:themeColor="text1"/>
          <w:sz w:val="28"/>
          <w:szCs w:val="28"/>
        </w:rPr>
        <w:t>大力</w:t>
      </w:r>
      <w:r>
        <w:rPr>
          <w:rFonts w:hint="eastAsia" w:ascii="Times New Roman" w:hAnsi="Times New Roman"/>
          <w:color w:val="000000" w:themeColor="text1"/>
          <w:sz w:val="28"/>
          <w:szCs w:val="28"/>
        </w:rPr>
        <w:t>推进农村物流健康发展。同时</w:t>
      </w:r>
      <w:r>
        <w:rPr>
          <w:rFonts w:ascii="Times New Roman" w:hAnsi="Times New Roman"/>
          <w:color w:val="000000" w:themeColor="text1"/>
          <w:sz w:val="28"/>
          <w:szCs w:val="28"/>
        </w:rPr>
        <w:t>深入贯彻落实交通运输部、农业部、供销合作总社、国家邮政局《关于协同推进农村物流健康发展，加快服务农业现代化的若干意见》（交通发[2015]25号），落实《泉州市</w:t>
      </w:r>
      <w:r>
        <w:rPr>
          <w:rFonts w:hint="eastAsia" w:ascii="Times New Roman" w:hAnsi="Times New Roman"/>
          <w:color w:val="000000" w:themeColor="text1"/>
          <w:sz w:val="28"/>
          <w:szCs w:val="28"/>
        </w:rPr>
        <w:t>“</w:t>
      </w:r>
      <w:r>
        <w:rPr>
          <w:rFonts w:ascii="Times New Roman" w:hAnsi="Times New Roman"/>
          <w:color w:val="000000" w:themeColor="text1"/>
          <w:sz w:val="28"/>
          <w:szCs w:val="28"/>
        </w:rPr>
        <w:t>十三五</w:t>
      </w:r>
      <w:r>
        <w:rPr>
          <w:rFonts w:hint="eastAsia" w:ascii="Times New Roman" w:hAnsi="Times New Roman"/>
          <w:color w:val="000000" w:themeColor="text1"/>
          <w:sz w:val="28"/>
          <w:szCs w:val="28"/>
        </w:rPr>
        <w:t>”</w:t>
      </w:r>
      <w:r>
        <w:rPr>
          <w:rFonts w:ascii="Times New Roman" w:hAnsi="Times New Roman"/>
          <w:color w:val="000000" w:themeColor="text1"/>
          <w:sz w:val="28"/>
          <w:szCs w:val="28"/>
        </w:rPr>
        <w:t>现代物流业发展专项规划》，发挥交通运输的先行引领作用</w:t>
      </w:r>
      <w:r>
        <w:rPr>
          <w:rFonts w:hint="eastAsia" w:ascii="Times New Roman" w:hAnsi="Times New Roman"/>
          <w:color w:val="000000" w:themeColor="text1"/>
          <w:sz w:val="28"/>
          <w:szCs w:val="28"/>
        </w:rPr>
        <w:t>。</w:t>
      </w:r>
      <w:r>
        <w:rPr>
          <w:rFonts w:ascii="Times New Roman" w:hAnsi="Times New Roman"/>
          <w:color w:val="000000" w:themeColor="text1"/>
          <w:sz w:val="28"/>
          <w:szCs w:val="28"/>
        </w:rPr>
        <w:t>为全面贯彻这一要求，201</w:t>
      </w:r>
      <w:r>
        <w:rPr>
          <w:rFonts w:hint="eastAsia" w:ascii="Times New Roman" w:hAnsi="Times New Roman"/>
          <w:color w:val="000000" w:themeColor="text1"/>
          <w:sz w:val="28"/>
          <w:szCs w:val="28"/>
        </w:rPr>
        <w:t>8</w:t>
      </w:r>
      <w:r>
        <w:rPr>
          <w:rFonts w:ascii="Times New Roman" w:hAnsi="Times New Roman"/>
          <w:color w:val="000000" w:themeColor="text1"/>
          <w:sz w:val="28"/>
          <w:szCs w:val="28"/>
        </w:rPr>
        <w:t>年</w:t>
      </w:r>
      <w:r>
        <w:rPr>
          <w:rFonts w:hint="eastAsia" w:ascii="Times New Roman" w:hAnsi="Times New Roman"/>
          <w:color w:val="000000" w:themeColor="text1"/>
          <w:sz w:val="28"/>
          <w:szCs w:val="28"/>
        </w:rPr>
        <w:t>8</w:t>
      </w:r>
      <w:r>
        <w:rPr>
          <w:rFonts w:ascii="Times New Roman" w:hAnsi="Times New Roman"/>
          <w:color w:val="000000" w:themeColor="text1"/>
          <w:sz w:val="28"/>
          <w:szCs w:val="28"/>
        </w:rPr>
        <w:t>月，泉州台商投资区</w:t>
      </w:r>
      <w:r>
        <w:rPr>
          <w:rFonts w:hint="eastAsia" w:ascii="Times New Roman" w:hAnsi="Times New Roman"/>
          <w:color w:val="000000" w:themeColor="text1"/>
          <w:sz w:val="28"/>
          <w:szCs w:val="28"/>
        </w:rPr>
        <w:t>规划建设与交通运输局</w:t>
      </w:r>
      <w:r>
        <w:rPr>
          <w:rFonts w:ascii="Times New Roman" w:hAnsi="Times New Roman"/>
          <w:color w:val="000000" w:themeColor="text1"/>
          <w:sz w:val="28"/>
          <w:szCs w:val="28"/>
        </w:rPr>
        <w:t>委托福建船政交通职业学院编制泉州台商投资区</w:t>
      </w:r>
      <w:r>
        <w:rPr>
          <w:rFonts w:hint="eastAsia" w:ascii="Times New Roman" w:hAnsi="Times New Roman"/>
          <w:color w:val="000000" w:themeColor="text1"/>
          <w:sz w:val="28"/>
          <w:szCs w:val="28"/>
        </w:rPr>
        <w:t>三级农村物流网络体系</w:t>
      </w:r>
      <w:r>
        <w:rPr>
          <w:rFonts w:ascii="Times New Roman" w:hAnsi="Times New Roman"/>
          <w:color w:val="000000" w:themeColor="text1"/>
          <w:sz w:val="28"/>
          <w:szCs w:val="28"/>
        </w:rPr>
        <w:t>规划。本次规划秉承</w:t>
      </w:r>
      <w:r>
        <w:rPr>
          <w:rFonts w:hint="eastAsia" w:ascii="Times New Roman" w:hAnsi="Times New Roman"/>
          <w:color w:val="000000" w:themeColor="text1"/>
          <w:sz w:val="28"/>
          <w:szCs w:val="28"/>
        </w:rPr>
        <w:t>泉州</w:t>
      </w:r>
      <w:r>
        <w:rPr>
          <w:rFonts w:ascii="Times New Roman" w:hAnsi="Times New Roman"/>
          <w:color w:val="000000" w:themeColor="text1"/>
          <w:sz w:val="28"/>
          <w:szCs w:val="28"/>
        </w:rPr>
        <w:t>市</w:t>
      </w:r>
      <w:r>
        <w:rPr>
          <w:rFonts w:hint="eastAsia" w:ascii="Times New Roman" w:hAnsi="Times New Roman"/>
          <w:color w:val="000000" w:themeColor="text1"/>
          <w:sz w:val="28"/>
          <w:szCs w:val="28"/>
        </w:rPr>
        <w:t>“</w:t>
      </w:r>
      <w:r>
        <w:rPr>
          <w:rFonts w:ascii="Times New Roman" w:hAnsi="Times New Roman"/>
          <w:color w:val="000000" w:themeColor="text1"/>
          <w:sz w:val="28"/>
          <w:szCs w:val="28"/>
        </w:rPr>
        <w:t>十三五</w:t>
      </w:r>
      <w:r>
        <w:rPr>
          <w:rFonts w:hint="eastAsia" w:ascii="Times New Roman" w:hAnsi="Times New Roman"/>
          <w:color w:val="000000" w:themeColor="text1"/>
          <w:sz w:val="28"/>
          <w:szCs w:val="28"/>
        </w:rPr>
        <w:t>”</w:t>
      </w:r>
      <w:r>
        <w:rPr>
          <w:rFonts w:ascii="Times New Roman" w:hAnsi="Times New Roman"/>
          <w:color w:val="000000" w:themeColor="text1"/>
          <w:sz w:val="28"/>
          <w:szCs w:val="28"/>
        </w:rPr>
        <w:t>现代物流业发展专项规划的理念和思路，确保同市规划无缝对接，并针</w:t>
      </w:r>
      <w:r>
        <w:rPr>
          <w:rFonts w:ascii="宋体" w:hAnsi="宋体" w:cs="宋体"/>
          <w:color w:val="000000" w:themeColor="text1"/>
          <w:sz w:val="28"/>
          <w:szCs w:val="28"/>
        </w:rPr>
        <w:t>对泉州台商投资区的具体情况展开，主要</w:t>
      </w:r>
      <w:r>
        <w:rPr>
          <w:rFonts w:hint="eastAsia" w:ascii="宋体" w:hAnsi="宋体" w:cs="宋体"/>
          <w:color w:val="000000" w:themeColor="text1"/>
          <w:sz w:val="28"/>
          <w:szCs w:val="28"/>
        </w:rPr>
        <w:t>研究</w:t>
      </w:r>
      <w:r>
        <w:rPr>
          <w:rFonts w:ascii="宋体" w:hAnsi="宋体" w:cs="宋体"/>
          <w:color w:val="000000" w:themeColor="text1"/>
          <w:sz w:val="28"/>
          <w:szCs w:val="28"/>
        </w:rPr>
        <w:t>内容有：</w:t>
      </w:r>
    </w:p>
    <w:p>
      <w:pPr>
        <w:numPr>
          <w:ilvl w:val="0"/>
          <w:numId w:val="1"/>
        </w:numPr>
        <w:snapToGrid w:val="0"/>
        <w:spacing w:before="0" w:after="0" w:line="360" w:lineRule="auto"/>
        <w:jc w:val="left"/>
        <w:rPr>
          <w:rFonts w:ascii="宋体" w:hAnsi="宋体" w:cs="宋体"/>
          <w:color w:val="000000" w:themeColor="text1"/>
          <w:sz w:val="28"/>
          <w:szCs w:val="28"/>
        </w:rPr>
      </w:pPr>
      <w:r>
        <w:rPr>
          <w:rFonts w:ascii="宋体" w:hAnsi="宋体" w:cs="宋体"/>
          <w:color w:val="000000" w:themeColor="text1"/>
          <w:sz w:val="28"/>
          <w:szCs w:val="28"/>
        </w:rPr>
        <w:t>泉州台商投资区</w:t>
      </w:r>
      <w:r>
        <w:rPr>
          <w:rFonts w:hint="eastAsia" w:ascii="宋体" w:hAnsi="宋体" w:cs="宋体"/>
          <w:color w:val="000000" w:themeColor="text1"/>
          <w:sz w:val="28"/>
          <w:szCs w:val="28"/>
        </w:rPr>
        <w:t>农村物流现状和问题分析</w:t>
      </w:r>
      <w:r>
        <w:rPr>
          <w:rFonts w:ascii="宋体" w:hAnsi="宋体" w:cs="宋体"/>
          <w:color w:val="000000" w:themeColor="text1"/>
          <w:sz w:val="28"/>
          <w:szCs w:val="28"/>
        </w:rPr>
        <w:t>：</w:t>
      </w:r>
      <w:r>
        <w:rPr>
          <w:rFonts w:hint="eastAsia" w:ascii="宋体" w:hAnsi="宋体" w:cs="宋体"/>
          <w:color w:val="000000" w:themeColor="text1"/>
          <w:sz w:val="28"/>
          <w:szCs w:val="28"/>
        </w:rPr>
        <w:t>包括</w:t>
      </w:r>
      <w:r>
        <w:rPr>
          <w:rFonts w:ascii="宋体" w:hAnsi="宋体" w:cs="宋体"/>
          <w:color w:val="000000" w:themeColor="text1"/>
          <w:sz w:val="28"/>
          <w:szCs w:val="28"/>
        </w:rPr>
        <w:t>泉州台商投资区社会经济发展状况、</w:t>
      </w:r>
      <w:r>
        <w:rPr>
          <w:rFonts w:hint="eastAsia" w:ascii="宋体" w:hAnsi="宋体" w:cs="宋体"/>
          <w:color w:val="000000" w:themeColor="text1"/>
          <w:sz w:val="28"/>
          <w:szCs w:val="28"/>
        </w:rPr>
        <w:t>农村物流</w:t>
      </w:r>
      <w:r>
        <w:rPr>
          <w:rFonts w:ascii="宋体" w:hAnsi="宋体" w:cs="宋体"/>
          <w:color w:val="000000" w:themeColor="text1"/>
          <w:sz w:val="28"/>
          <w:szCs w:val="28"/>
        </w:rPr>
        <w:t>现状的概述、规划总体意义、范围、时限等的介绍，分析泉州台商投资区</w:t>
      </w:r>
      <w:r>
        <w:rPr>
          <w:rFonts w:hint="eastAsia" w:ascii="宋体" w:hAnsi="宋体" w:cs="宋体"/>
          <w:color w:val="000000" w:themeColor="text1"/>
          <w:sz w:val="28"/>
          <w:szCs w:val="28"/>
        </w:rPr>
        <w:t>农村物流</w:t>
      </w:r>
      <w:r>
        <w:rPr>
          <w:rFonts w:ascii="宋体" w:hAnsi="宋体" w:cs="宋体"/>
          <w:color w:val="000000" w:themeColor="text1"/>
          <w:sz w:val="28"/>
          <w:szCs w:val="28"/>
        </w:rPr>
        <w:t>特征，分析目前</w:t>
      </w:r>
      <w:r>
        <w:rPr>
          <w:rFonts w:hint="eastAsia" w:ascii="宋体" w:hAnsi="宋体" w:cs="宋体"/>
          <w:color w:val="000000" w:themeColor="text1"/>
          <w:sz w:val="28"/>
          <w:szCs w:val="28"/>
        </w:rPr>
        <w:t>农村物流</w:t>
      </w:r>
      <w:r>
        <w:rPr>
          <w:rFonts w:ascii="宋体" w:hAnsi="宋体" w:cs="宋体"/>
          <w:color w:val="000000" w:themeColor="text1"/>
          <w:sz w:val="28"/>
          <w:szCs w:val="28"/>
        </w:rPr>
        <w:t>存在的问题。</w:t>
      </w:r>
    </w:p>
    <w:p>
      <w:pPr>
        <w:numPr>
          <w:ilvl w:val="0"/>
          <w:numId w:val="1"/>
        </w:numPr>
        <w:snapToGrid w:val="0"/>
        <w:spacing w:before="0" w:after="0" w:line="360" w:lineRule="auto"/>
        <w:jc w:val="left"/>
        <w:rPr>
          <w:rFonts w:ascii="宋体" w:hAnsi="宋体" w:cs="宋体"/>
          <w:color w:val="000000" w:themeColor="text1"/>
          <w:sz w:val="28"/>
          <w:szCs w:val="28"/>
        </w:rPr>
      </w:pPr>
      <w:r>
        <w:rPr>
          <w:rFonts w:ascii="宋体" w:hAnsi="宋体" w:cs="宋体"/>
          <w:color w:val="000000" w:themeColor="text1"/>
          <w:sz w:val="28"/>
          <w:szCs w:val="28"/>
        </w:rPr>
        <w:t>泉州台商投资区</w:t>
      </w:r>
      <w:r>
        <w:rPr>
          <w:rFonts w:hint="eastAsia" w:ascii="宋体" w:hAnsi="宋体" w:cs="宋体"/>
          <w:color w:val="000000" w:themeColor="text1"/>
          <w:sz w:val="28"/>
          <w:szCs w:val="28"/>
        </w:rPr>
        <w:t>农村物流网络体系发展目标与需求预测</w:t>
      </w:r>
      <w:r>
        <w:rPr>
          <w:rFonts w:ascii="宋体" w:hAnsi="宋体" w:cs="宋体"/>
          <w:color w:val="000000" w:themeColor="text1"/>
          <w:sz w:val="28"/>
          <w:szCs w:val="28"/>
        </w:rPr>
        <w:t>：包括</w:t>
      </w:r>
      <w:r>
        <w:rPr>
          <w:rFonts w:hint="eastAsia" w:ascii="宋体" w:hAnsi="宋体" w:cs="宋体"/>
          <w:color w:val="000000" w:themeColor="text1"/>
          <w:sz w:val="28"/>
          <w:szCs w:val="28"/>
        </w:rPr>
        <w:t>发展目标、指导思想和基本原则、</w:t>
      </w:r>
      <w:r>
        <w:rPr>
          <w:rFonts w:ascii="宋体" w:hAnsi="宋体" w:cs="宋体"/>
          <w:color w:val="000000" w:themeColor="text1"/>
          <w:sz w:val="28"/>
          <w:szCs w:val="28"/>
        </w:rPr>
        <w:t>社会经济发展预测、</w:t>
      </w:r>
      <w:r>
        <w:rPr>
          <w:rFonts w:hint="eastAsia" w:ascii="宋体" w:hAnsi="宋体" w:cs="宋体"/>
          <w:color w:val="000000" w:themeColor="text1"/>
          <w:sz w:val="28"/>
          <w:szCs w:val="28"/>
        </w:rPr>
        <w:t>全区农村物流量</w:t>
      </w:r>
      <w:r>
        <w:rPr>
          <w:rFonts w:ascii="宋体" w:hAnsi="宋体" w:cs="宋体"/>
          <w:color w:val="000000" w:themeColor="text1"/>
          <w:sz w:val="28"/>
          <w:szCs w:val="28"/>
        </w:rPr>
        <w:t>预测、</w:t>
      </w:r>
      <w:r>
        <w:rPr>
          <w:rFonts w:hint="eastAsia" w:ascii="宋体" w:hAnsi="宋体" w:cs="宋体"/>
          <w:color w:val="000000" w:themeColor="text1"/>
          <w:sz w:val="28"/>
          <w:szCs w:val="28"/>
        </w:rPr>
        <w:t>乡镇农村物流量</w:t>
      </w:r>
      <w:r>
        <w:rPr>
          <w:rFonts w:ascii="宋体" w:hAnsi="宋体" w:cs="宋体"/>
          <w:color w:val="000000" w:themeColor="text1"/>
          <w:sz w:val="28"/>
          <w:szCs w:val="28"/>
        </w:rPr>
        <w:t>预测和</w:t>
      </w:r>
      <w:r>
        <w:rPr>
          <w:rFonts w:hint="eastAsia" w:ascii="宋体" w:hAnsi="宋体" w:cs="宋体"/>
          <w:color w:val="000000" w:themeColor="text1"/>
          <w:sz w:val="28"/>
          <w:szCs w:val="28"/>
        </w:rPr>
        <w:t>各农村物流量</w:t>
      </w:r>
      <w:r>
        <w:rPr>
          <w:rFonts w:ascii="宋体" w:hAnsi="宋体" w:cs="宋体"/>
          <w:color w:val="000000" w:themeColor="text1"/>
          <w:sz w:val="28"/>
          <w:szCs w:val="28"/>
        </w:rPr>
        <w:t>预测。</w:t>
      </w:r>
    </w:p>
    <w:p>
      <w:pPr>
        <w:numPr>
          <w:ilvl w:val="0"/>
          <w:numId w:val="1"/>
        </w:numPr>
        <w:snapToGrid w:val="0"/>
        <w:spacing w:before="0" w:after="0" w:line="360" w:lineRule="auto"/>
        <w:jc w:val="left"/>
        <w:rPr>
          <w:rFonts w:ascii="宋体" w:hAnsi="宋体" w:cs="宋体"/>
          <w:color w:val="000000" w:themeColor="text1"/>
          <w:sz w:val="28"/>
          <w:szCs w:val="28"/>
        </w:rPr>
      </w:pPr>
      <w:r>
        <w:rPr>
          <w:rFonts w:ascii="宋体" w:hAnsi="宋体" w:cs="宋体"/>
          <w:color w:val="000000" w:themeColor="text1"/>
          <w:sz w:val="28"/>
          <w:szCs w:val="28"/>
        </w:rPr>
        <w:t>泉州台商投资区</w:t>
      </w:r>
      <w:r>
        <w:rPr>
          <w:rFonts w:hint="eastAsia" w:ascii="宋体" w:hAnsi="宋体" w:cs="宋体"/>
          <w:color w:val="000000" w:themeColor="text1"/>
          <w:sz w:val="28"/>
          <w:szCs w:val="28"/>
        </w:rPr>
        <w:t>农村物流网络体系规划方案</w:t>
      </w:r>
      <w:r>
        <w:rPr>
          <w:rFonts w:ascii="宋体" w:hAnsi="宋体" w:cs="宋体"/>
          <w:color w:val="000000" w:themeColor="text1"/>
          <w:sz w:val="28"/>
          <w:szCs w:val="28"/>
        </w:rPr>
        <w:t>：</w:t>
      </w:r>
      <w:r>
        <w:rPr>
          <w:rFonts w:hint="eastAsia" w:ascii="宋体" w:hAnsi="宋体" w:cs="宋体"/>
          <w:color w:val="000000" w:themeColor="text1"/>
          <w:sz w:val="28"/>
          <w:szCs w:val="28"/>
        </w:rPr>
        <w:t>包括农村物流网络节点规划、 配送网络线路设计、农村物流信息平台规划、农村电商平台规划、网点设施设备配备和</w:t>
      </w:r>
      <w:r>
        <w:rPr>
          <w:rFonts w:ascii="宋体" w:hAnsi="宋体" w:cs="宋体"/>
          <w:color w:val="000000" w:themeColor="text1"/>
          <w:sz w:val="28"/>
          <w:szCs w:val="28"/>
        </w:rPr>
        <w:t>泉州台商投资区</w:t>
      </w:r>
      <w:r>
        <w:rPr>
          <w:rFonts w:hint="eastAsia" w:ascii="宋体" w:hAnsi="宋体" w:cs="宋体"/>
          <w:color w:val="000000" w:themeColor="text1"/>
          <w:sz w:val="28"/>
          <w:szCs w:val="28"/>
        </w:rPr>
        <w:t>农村物流网络规划整体布局。</w:t>
      </w:r>
    </w:p>
    <w:p>
      <w:pPr>
        <w:numPr>
          <w:ilvl w:val="0"/>
          <w:numId w:val="1"/>
        </w:numPr>
        <w:snapToGrid w:val="0"/>
        <w:spacing w:before="0" w:after="0" w:line="360" w:lineRule="auto"/>
        <w:jc w:val="left"/>
        <w:rPr>
          <w:rFonts w:ascii="宋体" w:hAnsi="宋体" w:cs="宋体"/>
          <w:color w:val="000000" w:themeColor="text1"/>
          <w:sz w:val="28"/>
          <w:szCs w:val="28"/>
        </w:rPr>
      </w:pPr>
      <w:r>
        <w:rPr>
          <w:rFonts w:hint="eastAsia" w:ascii="宋体" w:hAnsi="宋体" w:cs="宋体"/>
          <w:color w:val="000000" w:themeColor="text1"/>
          <w:sz w:val="28"/>
          <w:szCs w:val="28"/>
        </w:rPr>
        <w:t>对</w:t>
      </w:r>
      <w:r>
        <w:rPr>
          <w:rFonts w:ascii="宋体" w:hAnsi="宋体" w:cs="宋体"/>
          <w:color w:val="000000" w:themeColor="text1"/>
          <w:sz w:val="28"/>
          <w:szCs w:val="28"/>
        </w:rPr>
        <w:t>泉州台商投资区</w:t>
      </w:r>
      <w:r>
        <w:rPr>
          <w:rFonts w:hint="eastAsia" w:ascii="宋体" w:hAnsi="宋体" w:cs="宋体"/>
          <w:color w:val="000000" w:themeColor="text1"/>
          <w:sz w:val="28"/>
          <w:szCs w:val="28"/>
        </w:rPr>
        <w:t>农村物流网络体系规划进行评价：包括现状评价、近期规划方案评价、中远期规划方案评价。</w:t>
      </w:r>
    </w:p>
    <w:p>
      <w:pPr>
        <w:numPr>
          <w:ilvl w:val="0"/>
          <w:numId w:val="1"/>
        </w:numPr>
        <w:snapToGrid w:val="0"/>
        <w:spacing w:before="0" w:after="0" w:line="360" w:lineRule="auto"/>
        <w:jc w:val="left"/>
        <w:rPr>
          <w:rFonts w:ascii="宋体" w:hAnsi="宋体" w:cs="宋体"/>
          <w:color w:val="000000" w:themeColor="text1"/>
          <w:sz w:val="28"/>
          <w:szCs w:val="28"/>
        </w:rPr>
      </w:pPr>
      <w:r>
        <w:rPr>
          <w:rFonts w:ascii="宋体" w:hAnsi="宋体" w:cs="宋体"/>
          <w:color w:val="000000" w:themeColor="text1"/>
          <w:sz w:val="28"/>
          <w:szCs w:val="28"/>
        </w:rPr>
        <w:t>研究泉州台商投资区</w:t>
      </w:r>
      <w:r>
        <w:rPr>
          <w:rFonts w:hint="eastAsia" w:ascii="宋体" w:hAnsi="宋体" w:cs="宋体"/>
          <w:color w:val="000000" w:themeColor="text1"/>
          <w:sz w:val="28"/>
          <w:szCs w:val="28"/>
        </w:rPr>
        <w:t>农村物流运营管理模式：通过比较台商投资区目前农村物流运营的几种管理模式，推出合适的管理模式、同时推出农村物流的安全运营要求、运营服务要求、品牌建设要求。</w:t>
      </w:r>
    </w:p>
    <w:p>
      <w:pPr>
        <w:numPr>
          <w:ilvl w:val="0"/>
          <w:numId w:val="1"/>
        </w:numPr>
        <w:snapToGrid w:val="0"/>
        <w:spacing w:before="0" w:after="0" w:line="360" w:lineRule="auto"/>
        <w:jc w:val="left"/>
        <w:rPr>
          <w:rFonts w:ascii="宋体" w:hAnsi="宋体" w:cs="宋体"/>
          <w:color w:val="000000" w:themeColor="text1"/>
          <w:sz w:val="28"/>
          <w:szCs w:val="28"/>
        </w:rPr>
      </w:pPr>
      <w:r>
        <w:rPr>
          <w:rFonts w:hint="eastAsia" w:ascii="宋体" w:hAnsi="宋体" w:cs="宋体"/>
          <w:color w:val="000000" w:themeColor="text1"/>
          <w:sz w:val="28"/>
          <w:szCs w:val="28"/>
        </w:rPr>
        <w:t>研究</w:t>
      </w:r>
      <w:r>
        <w:rPr>
          <w:rFonts w:ascii="宋体" w:hAnsi="宋体" w:cs="宋体"/>
          <w:color w:val="000000" w:themeColor="text1"/>
          <w:sz w:val="28"/>
          <w:szCs w:val="28"/>
        </w:rPr>
        <w:t>泉州台商投资区</w:t>
      </w:r>
      <w:r>
        <w:rPr>
          <w:rFonts w:hint="eastAsia" w:ascii="宋体" w:hAnsi="宋体" w:cs="宋体"/>
          <w:color w:val="000000" w:themeColor="text1"/>
          <w:sz w:val="28"/>
          <w:szCs w:val="28"/>
        </w:rPr>
        <w:t>农村物流网络体系建设的保障措施：包括组织保障、政策保障、资金保障、人才保障、机制保障和技术保障。</w:t>
      </w:r>
    </w:p>
    <w:p>
      <w:pPr>
        <w:snapToGrid w:val="0"/>
        <w:spacing w:before="0" w:after="0" w:line="360" w:lineRule="auto"/>
        <w:ind w:left="0" w:firstLine="560" w:firstLineChars="200"/>
        <w:jc w:val="left"/>
        <w:rPr>
          <w:rFonts w:ascii="宋体" w:hAnsi="宋体" w:cs="宋体"/>
          <w:color w:val="000000" w:themeColor="text1"/>
          <w:sz w:val="28"/>
          <w:szCs w:val="28"/>
        </w:rPr>
      </w:pPr>
      <w:r>
        <w:rPr>
          <w:rFonts w:ascii="宋体" w:hAnsi="宋体" w:cs="宋体"/>
          <w:color w:val="000000" w:themeColor="text1"/>
          <w:sz w:val="28"/>
          <w:szCs w:val="28"/>
        </w:rPr>
        <w:t>研究内容确定后，福建船政交通职业学院立即组成项目组开展规划编制工作。鉴于项目涉及范围较广，情况较为复杂，项目组会同泉州台商投资区</w:t>
      </w:r>
      <w:r>
        <w:rPr>
          <w:rFonts w:hint="eastAsia" w:ascii="宋体" w:hAnsi="宋体" w:cs="宋体"/>
          <w:color w:val="000000" w:themeColor="text1"/>
          <w:sz w:val="28"/>
          <w:szCs w:val="28"/>
        </w:rPr>
        <w:t>运输管理所</w:t>
      </w:r>
      <w:r>
        <w:rPr>
          <w:rFonts w:ascii="宋体" w:hAnsi="宋体" w:cs="宋体"/>
          <w:color w:val="000000" w:themeColor="text1"/>
          <w:sz w:val="28"/>
          <w:szCs w:val="28"/>
        </w:rPr>
        <w:t>深入至相关单位，就规划范围内的交通现状、存在的问题和今后的发展趋势进行了深入而广泛的调查和研究。在规划的编制过程中，项目组及时同泉州台商投资区</w:t>
      </w:r>
      <w:r>
        <w:rPr>
          <w:rFonts w:hint="eastAsia" w:ascii="宋体" w:hAnsi="宋体" w:cs="宋体"/>
          <w:color w:val="000000" w:themeColor="text1"/>
          <w:sz w:val="28"/>
          <w:szCs w:val="28"/>
        </w:rPr>
        <w:t>规划建设与交通运输局</w:t>
      </w:r>
      <w:r>
        <w:rPr>
          <w:rFonts w:ascii="宋体" w:hAnsi="宋体" w:cs="宋体"/>
          <w:color w:val="000000" w:themeColor="text1"/>
          <w:sz w:val="28"/>
          <w:szCs w:val="28"/>
        </w:rPr>
        <w:t>、泉州台商投资区</w:t>
      </w:r>
      <w:r>
        <w:rPr>
          <w:rFonts w:hint="eastAsia" w:ascii="宋体" w:hAnsi="宋体" w:cs="宋体"/>
          <w:color w:val="000000" w:themeColor="text1"/>
          <w:sz w:val="28"/>
          <w:szCs w:val="28"/>
        </w:rPr>
        <w:t>交通运输管理所、</w:t>
      </w:r>
      <w:r>
        <w:rPr>
          <w:rFonts w:ascii="宋体" w:hAnsi="宋体" w:cs="宋体"/>
          <w:color w:val="000000" w:themeColor="text1"/>
          <w:sz w:val="28"/>
          <w:szCs w:val="28"/>
        </w:rPr>
        <w:t>泉州台商投资区</w:t>
      </w:r>
      <w:r>
        <w:rPr>
          <w:rFonts w:hint="eastAsia" w:ascii="宋体" w:hAnsi="宋体" w:cs="宋体"/>
          <w:color w:val="000000" w:themeColor="text1"/>
          <w:sz w:val="28"/>
          <w:szCs w:val="28"/>
        </w:rPr>
        <w:t>邮政物流公司</w:t>
      </w:r>
      <w:r>
        <w:rPr>
          <w:rFonts w:ascii="宋体" w:hAnsi="宋体" w:cs="宋体"/>
          <w:color w:val="000000" w:themeColor="text1"/>
          <w:sz w:val="28"/>
          <w:szCs w:val="28"/>
        </w:rPr>
        <w:t>等相关部门进行沟通，就规划方案反复进行探讨，不断对规划内容进行修改，以确保最终规划方案切实可行，为泉州台商投资区的</w:t>
      </w:r>
      <w:r>
        <w:rPr>
          <w:rFonts w:hint="eastAsia" w:ascii="宋体" w:hAnsi="宋体" w:cs="宋体"/>
          <w:color w:val="000000" w:themeColor="text1"/>
          <w:sz w:val="28"/>
          <w:szCs w:val="28"/>
        </w:rPr>
        <w:t>农村物流</w:t>
      </w:r>
      <w:r>
        <w:rPr>
          <w:rFonts w:ascii="宋体" w:hAnsi="宋体" w:cs="宋体"/>
          <w:color w:val="000000" w:themeColor="text1"/>
          <w:sz w:val="28"/>
          <w:szCs w:val="28"/>
        </w:rPr>
        <w:t>建设与远景发展提供坚实的设施基础。</w:t>
      </w:r>
    </w:p>
    <w:p>
      <w:pPr>
        <w:snapToGrid w:val="0"/>
        <w:spacing w:before="0" w:after="0" w:line="360" w:lineRule="auto"/>
        <w:ind w:left="560" w:firstLine="5740" w:firstLineChars="2050"/>
        <w:jc w:val="left"/>
        <w:rPr>
          <w:rFonts w:ascii="宋体" w:hAnsi="宋体" w:cs="宋体"/>
          <w:color w:val="000000" w:themeColor="text1"/>
          <w:sz w:val="28"/>
          <w:szCs w:val="28"/>
        </w:rPr>
      </w:pPr>
      <w:r>
        <w:rPr>
          <w:rFonts w:ascii="宋体" w:hAnsi="宋体" w:cs="宋体"/>
          <w:color w:val="000000" w:themeColor="text1"/>
          <w:sz w:val="28"/>
          <w:szCs w:val="28"/>
        </w:rPr>
        <w:t>二零一</w:t>
      </w:r>
      <w:r>
        <w:rPr>
          <w:rFonts w:hint="eastAsia" w:ascii="宋体" w:hAnsi="宋体" w:cs="宋体"/>
          <w:color w:val="000000" w:themeColor="text1"/>
          <w:sz w:val="28"/>
          <w:szCs w:val="28"/>
        </w:rPr>
        <w:t>八</w:t>
      </w:r>
      <w:r>
        <w:rPr>
          <w:rFonts w:ascii="宋体" w:hAnsi="宋体" w:cs="宋体"/>
          <w:color w:val="000000" w:themeColor="text1"/>
          <w:sz w:val="28"/>
          <w:szCs w:val="28"/>
        </w:rPr>
        <w:t>年</w:t>
      </w:r>
      <w:r>
        <w:rPr>
          <w:rFonts w:hint="eastAsia" w:ascii="宋体" w:hAnsi="宋体" w:cs="宋体"/>
          <w:color w:val="000000" w:themeColor="text1"/>
          <w:sz w:val="28"/>
          <w:szCs w:val="28"/>
        </w:rPr>
        <w:t>十</w:t>
      </w:r>
      <w:r>
        <w:rPr>
          <w:rFonts w:ascii="宋体" w:hAnsi="宋体" w:cs="宋体"/>
          <w:color w:val="000000" w:themeColor="text1"/>
          <w:sz w:val="28"/>
          <w:szCs w:val="28"/>
        </w:rPr>
        <w:t>月</w:t>
      </w:r>
      <w:r>
        <w:rPr>
          <w:rFonts w:ascii="宋体" w:hAnsi="宋体" w:cs="宋体"/>
          <w:color w:val="000000" w:themeColor="text1"/>
          <w:sz w:val="28"/>
          <w:szCs w:val="28"/>
        </w:rPr>
        <w:br w:type="page"/>
      </w:r>
    </w:p>
    <w:p>
      <w:pPr>
        <w:snapToGrid w:val="0"/>
        <w:spacing w:before="0" w:after="0" w:line="276" w:lineRule="auto"/>
        <w:ind w:left="662" w:hanging="662" w:hangingChars="206"/>
        <w:jc w:val="center"/>
        <w:rPr>
          <w:rFonts w:asciiTheme="minorEastAsia" w:hAnsiTheme="minorEastAsia" w:eastAsiaTheme="minorEastAsia"/>
          <w:sz w:val="24"/>
          <w:szCs w:val="24"/>
        </w:rPr>
      </w:pPr>
      <w:r>
        <w:rPr>
          <w:rFonts w:hint="eastAsia" w:ascii="宋体" w:hAnsi="宋体" w:cs="宋体"/>
          <w:b/>
          <w:color w:val="000000" w:themeColor="text1"/>
          <w:sz w:val="32"/>
          <w:szCs w:val="28"/>
        </w:rPr>
        <w:t>目录</w:t>
      </w:r>
      <w:r>
        <w:rPr>
          <w:rFonts w:ascii="宋体" w:hAnsi="宋体" w:cs="宋体"/>
          <w:b/>
          <w:color w:val="000000" w:themeColor="text1"/>
          <w:sz w:val="32"/>
          <w:szCs w:val="28"/>
        </w:rPr>
        <w:fldChar w:fldCharType="begin"/>
      </w:r>
      <w:r>
        <w:rPr>
          <w:rFonts w:ascii="宋体" w:hAnsi="宋体" w:cs="宋体"/>
          <w:b/>
          <w:color w:val="000000" w:themeColor="text1"/>
          <w:sz w:val="32"/>
          <w:szCs w:val="28"/>
        </w:rPr>
        <w:instrText xml:space="preserve"> TOC \o "1-2" \h \z \u </w:instrText>
      </w:r>
      <w:r>
        <w:rPr>
          <w:rFonts w:ascii="宋体" w:hAnsi="宋体" w:cs="宋体"/>
          <w:b/>
          <w:color w:val="000000" w:themeColor="text1"/>
          <w:sz w:val="32"/>
          <w:szCs w:val="28"/>
        </w:rPr>
        <w:fldChar w:fldCharType="separate"/>
      </w:r>
    </w:p>
    <w:p>
      <w:pPr>
        <w:pStyle w:val="12"/>
        <w:tabs>
          <w:tab w:val="left" w:pos="1050"/>
          <w:tab w:val="right" w:leader="dot" w:pos="8296"/>
        </w:tabs>
        <w:spacing w:line="276" w:lineRule="auto"/>
        <w:rPr>
          <w:rFonts w:asciiTheme="minorEastAsia" w:hAnsiTheme="minorEastAsia" w:eastAsiaTheme="minorEastAsia" w:cstheme="minorBidi"/>
          <w:b/>
          <w:sz w:val="24"/>
        </w:rPr>
      </w:pPr>
      <w:r>
        <w:fldChar w:fldCharType="begin"/>
      </w:r>
      <w:r>
        <w:instrText xml:space="preserve"> HYPERLINK \l "_Toc528526442" </w:instrText>
      </w:r>
      <w:r>
        <w:fldChar w:fldCharType="separate"/>
      </w:r>
      <w:r>
        <w:rPr>
          <w:rStyle w:val="16"/>
          <w:rFonts w:hint="eastAsia" w:asciiTheme="minorEastAsia" w:hAnsiTheme="minorEastAsia" w:eastAsiaTheme="minorEastAsia"/>
          <w:b/>
          <w:sz w:val="24"/>
        </w:rPr>
        <w:t>第1章</w:t>
      </w:r>
      <w:r>
        <w:rPr>
          <w:rFonts w:asciiTheme="minorEastAsia" w:hAnsiTheme="minorEastAsia" w:eastAsiaTheme="minorEastAsia" w:cstheme="minorBidi"/>
          <w:b/>
          <w:sz w:val="24"/>
        </w:rPr>
        <w:tab/>
      </w:r>
      <w:r>
        <w:rPr>
          <w:rStyle w:val="16"/>
          <w:rFonts w:hint="eastAsia" w:asciiTheme="minorEastAsia" w:hAnsiTheme="minorEastAsia" w:eastAsiaTheme="minorEastAsia"/>
          <w:b/>
          <w:sz w:val="24"/>
        </w:rPr>
        <w:t>概述</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_Toc528526442 \h </w:instrText>
      </w:r>
      <w:r>
        <w:rPr>
          <w:rFonts w:asciiTheme="minorEastAsia" w:hAnsiTheme="minorEastAsia" w:eastAsiaTheme="minorEastAsia"/>
          <w:b/>
          <w:sz w:val="24"/>
        </w:rPr>
        <w:fldChar w:fldCharType="separate"/>
      </w:r>
      <w:r>
        <w:rPr>
          <w:rFonts w:asciiTheme="minorEastAsia" w:hAnsiTheme="minorEastAsia" w:eastAsiaTheme="minorEastAsia"/>
          <w:b/>
          <w:sz w:val="24"/>
        </w:rPr>
        <w:t>1</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"_Toc528526443" </w:instrText>
      </w:r>
      <w:r>
        <w:fldChar w:fldCharType="separate"/>
      </w:r>
      <w:r>
        <w:rPr>
          <w:rStyle w:val="16"/>
          <w:rFonts w:asciiTheme="minorEastAsia" w:hAnsiTheme="minorEastAsia" w:eastAsiaTheme="minorEastAsia"/>
          <w:b/>
          <w:sz w:val="24"/>
          <w:szCs w:val="24"/>
        </w:rPr>
        <w:t>1.1</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规划背景</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_Toc528526443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"_Toc528526444" </w:instrText>
      </w:r>
      <w:r>
        <w:fldChar w:fldCharType="separate"/>
      </w:r>
      <w:r>
        <w:rPr>
          <w:rStyle w:val="16"/>
          <w:rFonts w:asciiTheme="minorEastAsia" w:hAnsiTheme="minorEastAsia" w:eastAsiaTheme="minorEastAsia"/>
          <w:b/>
          <w:sz w:val="24"/>
          <w:szCs w:val="24"/>
        </w:rPr>
        <w:t>1.2</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规划依据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_Toc528526444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"_Toc528526445" </w:instrText>
      </w:r>
      <w:r>
        <w:fldChar w:fldCharType="separate"/>
      </w:r>
      <w:r>
        <w:rPr>
          <w:rStyle w:val="16"/>
          <w:rFonts w:asciiTheme="minorEastAsia" w:hAnsiTheme="minorEastAsia" w:eastAsiaTheme="minorEastAsia"/>
          <w:b/>
          <w:sz w:val="24"/>
          <w:szCs w:val="24"/>
        </w:rPr>
        <w:t>1.3</w:t>
      </w:r>
      <w:r>
        <w:rPr>
          <w:rStyle w:val="16"/>
          <w:rFonts w:hint="eastAsia" w:asciiTheme="minorEastAsia" w:hAnsiTheme="minorEastAsia" w:eastAsiaTheme="minorEastAsia"/>
          <w:sz w:val="24"/>
          <w:szCs w:val="24"/>
        </w:rPr>
        <w:t xml:space="preserve">  规划期限</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_Toc528526445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4</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"_Toc528526446" </w:instrText>
      </w:r>
      <w:r>
        <w:fldChar w:fldCharType="separate"/>
      </w:r>
      <w:r>
        <w:rPr>
          <w:rStyle w:val="16"/>
          <w:rFonts w:asciiTheme="minorEastAsia" w:hAnsiTheme="minorEastAsia" w:eastAsiaTheme="minorEastAsia"/>
          <w:b/>
          <w:sz w:val="24"/>
          <w:szCs w:val="24"/>
        </w:rPr>
        <w:t>1.4</w:t>
      </w:r>
      <w:r>
        <w:rPr>
          <w:rStyle w:val="16"/>
          <w:rFonts w:hint="eastAsia" w:asciiTheme="minorEastAsia" w:hAnsiTheme="minorEastAsia" w:eastAsiaTheme="minorEastAsia"/>
          <w:b/>
          <w:sz w:val="24"/>
          <w:szCs w:val="24"/>
        </w:rPr>
        <w:t xml:space="preserve">  </w:t>
      </w:r>
      <w:r>
        <w:rPr>
          <w:rStyle w:val="16"/>
          <w:rFonts w:hint="eastAsia" w:asciiTheme="minorEastAsia" w:hAnsiTheme="minorEastAsia" w:eastAsiaTheme="minorEastAsia"/>
          <w:sz w:val="24"/>
          <w:szCs w:val="24"/>
        </w:rPr>
        <w:t>规划内容</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_Toc528526446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"_Toc528526447" </w:instrText>
      </w:r>
      <w:r>
        <w:fldChar w:fldCharType="separate"/>
      </w:r>
      <w:r>
        <w:rPr>
          <w:rStyle w:val="16"/>
          <w:rFonts w:asciiTheme="minorEastAsia" w:hAnsiTheme="minorEastAsia" w:eastAsiaTheme="minorEastAsia"/>
          <w:b/>
          <w:sz w:val="24"/>
          <w:szCs w:val="24"/>
        </w:rPr>
        <w:t>1.5</w:t>
      </w:r>
      <w:r>
        <w:rPr>
          <w:rStyle w:val="16"/>
          <w:rFonts w:hint="eastAsia" w:asciiTheme="minorEastAsia" w:hAnsiTheme="minorEastAsia" w:eastAsiaTheme="minorEastAsia"/>
          <w:sz w:val="24"/>
          <w:szCs w:val="24"/>
        </w:rPr>
        <w:t xml:space="preserve">  规划意义</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_Toc528526447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2"/>
        <w:tabs>
          <w:tab w:val="left" w:pos="1050"/>
          <w:tab w:val="right" w:leader="dot" w:pos="8296"/>
        </w:tabs>
        <w:spacing w:line="276" w:lineRule="auto"/>
        <w:rPr>
          <w:rFonts w:asciiTheme="minorEastAsia" w:hAnsiTheme="minorEastAsia" w:eastAsiaTheme="minorEastAsia" w:cstheme="minorBidi"/>
          <w:b/>
          <w:sz w:val="24"/>
        </w:rPr>
      </w:pPr>
      <w:r>
        <w:fldChar w:fldCharType="begin"/>
      </w:r>
      <w:r>
        <w:instrText xml:space="preserve"> HYPERLINK \l "_Toc528526448" </w:instrText>
      </w:r>
      <w:r>
        <w:fldChar w:fldCharType="separate"/>
      </w:r>
      <w:r>
        <w:rPr>
          <w:rStyle w:val="16"/>
          <w:rFonts w:hint="eastAsia" w:asciiTheme="minorEastAsia" w:hAnsiTheme="minorEastAsia" w:eastAsiaTheme="minorEastAsia"/>
          <w:b/>
          <w:sz w:val="24"/>
        </w:rPr>
        <w:t>第2章</w:t>
      </w:r>
      <w:r>
        <w:rPr>
          <w:rFonts w:asciiTheme="minorEastAsia" w:hAnsiTheme="minorEastAsia" w:eastAsiaTheme="minorEastAsia" w:cstheme="minorBidi"/>
          <w:b/>
          <w:sz w:val="24"/>
        </w:rPr>
        <w:tab/>
      </w:r>
      <w:r>
        <w:rPr>
          <w:rStyle w:val="16"/>
          <w:rFonts w:hint="eastAsia" w:asciiTheme="minorEastAsia" w:hAnsiTheme="minorEastAsia" w:eastAsiaTheme="minorEastAsia"/>
          <w:b/>
          <w:sz w:val="24"/>
          <w:u w:val="none"/>
        </w:rPr>
        <w:t>泉州台商投资区农村物流</w:t>
      </w:r>
      <w:r>
        <w:rPr>
          <w:rStyle w:val="16"/>
          <w:rFonts w:hint="eastAsia" w:asciiTheme="minorEastAsia" w:hAnsiTheme="minorEastAsia" w:eastAsiaTheme="minorEastAsia"/>
          <w:b/>
          <w:sz w:val="24"/>
        </w:rPr>
        <w:t>现状和问题分析</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_Toc528526448 \h </w:instrText>
      </w:r>
      <w:r>
        <w:rPr>
          <w:rFonts w:asciiTheme="minorEastAsia" w:hAnsiTheme="minorEastAsia" w:eastAsiaTheme="minorEastAsia"/>
          <w:b/>
          <w:sz w:val="24"/>
        </w:rPr>
        <w:fldChar w:fldCharType="separate"/>
      </w:r>
      <w:r>
        <w:rPr>
          <w:rFonts w:asciiTheme="minorEastAsia" w:hAnsiTheme="minorEastAsia" w:eastAsiaTheme="minorEastAsia"/>
          <w:b/>
          <w:sz w:val="24"/>
        </w:rPr>
        <w:t>9</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"_Toc528526449" </w:instrText>
      </w:r>
      <w:r>
        <w:fldChar w:fldCharType="separate"/>
      </w:r>
      <w:r>
        <w:rPr>
          <w:rStyle w:val="16"/>
          <w:rFonts w:asciiTheme="minorEastAsia" w:hAnsiTheme="minorEastAsia" w:eastAsiaTheme="minorEastAsia"/>
          <w:b/>
          <w:sz w:val="24"/>
          <w:szCs w:val="24"/>
        </w:rPr>
        <w:t>2.1</w:t>
      </w:r>
      <w:r>
        <w:rPr>
          <w:rStyle w:val="16"/>
          <w:rFonts w:hint="eastAsia" w:asciiTheme="minorEastAsia" w:hAnsiTheme="minorEastAsia" w:eastAsiaTheme="minorEastAsia"/>
          <w:sz w:val="24"/>
          <w:szCs w:val="24"/>
        </w:rPr>
        <w:t xml:space="preserve">  发展现状</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_Toc528526449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9</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"_Toc528526450" </w:instrText>
      </w:r>
      <w:r>
        <w:fldChar w:fldCharType="separate"/>
      </w:r>
      <w:r>
        <w:rPr>
          <w:rStyle w:val="16"/>
          <w:rFonts w:asciiTheme="minorEastAsia" w:hAnsiTheme="minorEastAsia" w:eastAsiaTheme="minorEastAsia"/>
          <w:b/>
          <w:sz w:val="24"/>
          <w:szCs w:val="24"/>
        </w:rPr>
        <w:t>2.2</w:t>
      </w:r>
      <w:r>
        <w:rPr>
          <w:rStyle w:val="16"/>
          <w:rFonts w:hint="eastAsia" w:asciiTheme="minorEastAsia" w:hAnsiTheme="minorEastAsia" w:eastAsiaTheme="minorEastAsia"/>
          <w:sz w:val="24"/>
          <w:szCs w:val="24"/>
        </w:rPr>
        <w:t xml:space="preserve">  存在的问题</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_Toc528526450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14</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2"/>
        <w:tabs>
          <w:tab w:val="left" w:pos="1050"/>
          <w:tab w:val="right" w:leader="dot" w:pos="8296"/>
        </w:tabs>
        <w:spacing w:line="276" w:lineRule="auto"/>
        <w:rPr>
          <w:rFonts w:asciiTheme="minorEastAsia" w:hAnsiTheme="minorEastAsia" w:eastAsiaTheme="minorEastAsia" w:cstheme="minorBidi"/>
          <w:b/>
          <w:sz w:val="24"/>
        </w:rPr>
      </w:pPr>
      <w:r>
        <w:fldChar w:fldCharType="begin"/>
      </w:r>
      <w:r>
        <w:instrText xml:space="preserve"> HYPERLINK \l "_Toc528526451" </w:instrText>
      </w:r>
      <w:r>
        <w:fldChar w:fldCharType="separate"/>
      </w:r>
      <w:r>
        <w:rPr>
          <w:rStyle w:val="16"/>
          <w:rFonts w:hint="eastAsia" w:asciiTheme="minorEastAsia" w:hAnsiTheme="minorEastAsia" w:eastAsiaTheme="minorEastAsia"/>
          <w:b/>
          <w:bCs/>
          <w:kern w:val="44"/>
          <w:sz w:val="24"/>
          <w:u w:val="none"/>
        </w:rPr>
        <w:t>第3章</w:t>
      </w:r>
      <w:r>
        <w:rPr>
          <w:rFonts w:asciiTheme="minorEastAsia" w:hAnsiTheme="minorEastAsia" w:eastAsiaTheme="minorEastAsia" w:cstheme="minorBidi"/>
          <w:b/>
          <w:sz w:val="24"/>
        </w:rPr>
        <w:tab/>
      </w:r>
      <w:r>
        <w:rPr>
          <w:rStyle w:val="16"/>
          <w:rFonts w:hint="eastAsia" w:asciiTheme="minorEastAsia" w:hAnsiTheme="minorEastAsia" w:eastAsiaTheme="minorEastAsia"/>
          <w:b/>
          <w:bCs/>
          <w:kern w:val="44"/>
          <w:sz w:val="24"/>
          <w:u w:val="none"/>
        </w:rPr>
        <w:t>泉州台商投资区农村物流网络体系规划方案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_Toc528526451 \h </w:instrText>
      </w:r>
      <w:r>
        <w:rPr>
          <w:rFonts w:asciiTheme="minorEastAsia" w:hAnsiTheme="minorEastAsia" w:eastAsiaTheme="minorEastAsia"/>
          <w:b/>
          <w:sz w:val="24"/>
        </w:rPr>
        <w:fldChar w:fldCharType="separate"/>
      </w:r>
      <w:r>
        <w:rPr>
          <w:rFonts w:asciiTheme="minorEastAsia" w:hAnsiTheme="minorEastAsia" w:eastAsiaTheme="minorEastAsia"/>
          <w:b/>
          <w:sz w:val="24"/>
        </w:rPr>
        <w:t>18</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"_Toc528526452" </w:instrText>
      </w:r>
      <w:r>
        <w:fldChar w:fldCharType="separate"/>
      </w:r>
      <w:r>
        <w:rPr>
          <w:rStyle w:val="16"/>
          <w:rFonts w:asciiTheme="minorEastAsia" w:hAnsiTheme="minorEastAsia" w:eastAsiaTheme="minorEastAsia"/>
          <w:b/>
          <w:sz w:val="24"/>
          <w:szCs w:val="24"/>
        </w:rPr>
        <w:t>3.1</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农村物流网络的组成要素</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_Toc528526452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"_Toc528526453" </w:instrText>
      </w:r>
      <w:r>
        <w:fldChar w:fldCharType="separate"/>
      </w:r>
      <w:r>
        <w:rPr>
          <w:rStyle w:val="16"/>
          <w:rFonts w:asciiTheme="minorEastAsia" w:hAnsiTheme="minorEastAsia" w:eastAsiaTheme="minorEastAsia"/>
          <w:b/>
          <w:sz w:val="24"/>
          <w:szCs w:val="24"/>
        </w:rPr>
        <w:t>3.2</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农村物流网络规划原则</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_Toc528526453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19</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"_Toc528526454" </w:instrText>
      </w:r>
      <w:r>
        <w:fldChar w:fldCharType="separate"/>
      </w:r>
      <w:r>
        <w:rPr>
          <w:rStyle w:val="16"/>
          <w:rFonts w:asciiTheme="minorEastAsia" w:hAnsiTheme="minorEastAsia" w:eastAsiaTheme="minorEastAsia"/>
          <w:b/>
          <w:sz w:val="24"/>
          <w:szCs w:val="24"/>
        </w:rPr>
        <w:t>3.3</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农村物流网络体系发展目标</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_Toc528526454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20</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"_Toc528526455" </w:instrText>
      </w:r>
      <w:r>
        <w:fldChar w:fldCharType="separate"/>
      </w:r>
      <w:r>
        <w:rPr>
          <w:rStyle w:val="16"/>
          <w:rFonts w:asciiTheme="minorEastAsia" w:hAnsiTheme="minorEastAsia" w:eastAsiaTheme="minorEastAsia"/>
          <w:b/>
          <w:sz w:val="24"/>
          <w:szCs w:val="24"/>
        </w:rPr>
        <w:t>3.4</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整体规划</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_Toc528526455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21</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"_Toc528526456" </w:instrText>
      </w:r>
      <w:r>
        <w:fldChar w:fldCharType="separate"/>
      </w:r>
      <w:r>
        <w:rPr>
          <w:rStyle w:val="16"/>
          <w:rFonts w:asciiTheme="minorEastAsia" w:hAnsiTheme="minorEastAsia" w:eastAsiaTheme="minorEastAsia"/>
          <w:b/>
          <w:sz w:val="24"/>
          <w:szCs w:val="24"/>
        </w:rPr>
        <w:t>3.5</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农村物流网络节点规划</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_Toc528526456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"_Toc528526457" </w:instrText>
      </w:r>
      <w:r>
        <w:fldChar w:fldCharType="separate"/>
      </w:r>
      <w:r>
        <w:rPr>
          <w:rStyle w:val="16"/>
          <w:rFonts w:asciiTheme="minorEastAsia" w:hAnsiTheme="minorEastAsia" w:eastAsiaTheme="minorEastAsia"/>
          <w:b/>
          <w:sz w:val="24"/>
          <w:szCs w:val="24"/>
        </w:rPr>
        <w:t>3.6</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配送网络线路设计</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_Toc528526457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"_Toc528526458" </w:instrText>
      </w:r>
      <w:r>
        <w:fldChar w:fldCharType="separate"/>
      </w:r>
      <w:r>
        <w:rPr>
          <w:rStyle w:val="16"/>
          <w:rFonts w:asciiTheme="minorEastAsia" w:hAnsiTheme="minorEastAsia" w:eastAsiaTheme="minorEastAsia"/>
          <w:b/>
          <w:sz w:val="24"/>
          <w:szCs w:val="24"/>
        </w:rPr>
        <w:t>3.7</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农村物流信息平台规划</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_Toc528526458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48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"_Toc528526459" </w:instrText>
      </w:r>
      <w:r>
        <w:fldChar w:fldCharType="separate"/>
      </w:r>
      <w:r>
        <w:rPr>
          <w:rStyle w:val="16"/>
          <w:rFonts w:asciiTheme="minorEastAsia" w:hAnsiTheme="minorEastAsia" w:eastAsiaTheme="minorEastAsia"/>
          <w:b/>
          <w:sz w:val="24"/>
          <w:szCs w:val="24"/>
        </w:rPr>
        <w:t>3.8</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农村电商平台规划</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_Toc528526459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53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"_Toc528526460" </w:instrText>
      </w:r>
      <w:r>
        <w:fldChar w:fldCharType="separate"/>
      </w:r>
      <w:r>
        <w:rPr>
          <w:rStyle w:val="16"/>
          <w:rFonts w:asciiTheme="minorEastAsia" w:hAnsiTheme="minorEastAsia" w:eastAsiaTheme="minorEastAsia"/>
          <w:b/>
          <w:sz w:val="24"/>
          <w:szCs w:val="24"/>
        </w:rPr>
        <w:t>3.9</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泉州台商投资区产品上行物流规划</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_Toc528526460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56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2"/>
        <w:tabs>
          <w:tab w:val="left" w:pos="1050"/>
          <w:tab w:val="right" w:leader="dot" w:pos="8296"/>
        </w:tabs>
        <w:spacing w:line="276" w:lineRule="auto"/>
        <w:rPr>
          <w:rFonts w:asciiTheme="minorEastAsia" w:hAnsiTheme="minorEastAsia" w:eastAsiaTheme="minorEastAsia" w:cstheme="minorBidi"/>
          <w:b/>
          <w:sz w:val="24"/>
        </w:rPr>
      </w:pPr>
      <w:r>
        <w:fldChar w:fldCharType="begin"/>
      </w:r>
      <w:r>
        <w:instrText xml:space="preserve"> HYPERLINK \l "_Toc528526461" </w:instrText>
      </w:r>
      <w:r>
        <w:fldChar w:fldCharType="separate"/>
      </w:r>
      <w:r>
        <w:rPr>
          <w:rStyle w:val="16"/>
          <w:rFonts w:hint="eastAsia" w:asciiTheme="minorEastAsia" w:hAnsiTheme="minorEastAsia" w:eastAsiaTheme="minorEastAsia"/>
          <w:b/>
          <w:sz w:val="24"/>
        </w:rPr>
        <w:t>第4章</w:t>
      </w:r>
      <w:r>
        <w:rPr>
          <w:rFonts w:asciiTheme="minorEastAsia" w:hAnsiTheme="minorEastAsia" w:eastAsiaTheme="minorEastAsia" w:cstheme="minorBidi"/>
          <w:b/>
          <w:sz w:val="24"/>
        </w:rPr>
        <w:tab/>
      </w:r>
      <w:r>
        <w:rPr>
          <w:rStyle w:val="16"/>
          <w:rFonts w:hint="eastAsia" w:asciiTheme="minorEastAsia" w:hAnsiTheme="minorEastAsia" w:eastAsiaTheme="minorEastAsia"/>
          <w:b/>
          <w:sz w:val="24"/>
        </w:rPr>
        <w:t>泉州台商投资区农村物流网络体系的运营管理模式</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_Toc528526461 \h </w:instrText>
      </w:r>
      <w:r>
        <w:rPr>
          <w:rFonts w:asciiTheme="minorEastAsia" w:hAnsiTheme="minorEastAsia" w:eastAsiaTheme="minorEastAsia"/>
          <w:b/>
          <w:sz w:val="24"/>
        </w:rPr>
        <w:fldChar w:fldCharType="separate"/>
      </w:r>
      <w:r>
        <w:rPr>
          <w:rFonts w:asciiTheme="minorEastAsia" w:hAnsiTheme="minorEastAsia" w:eastAsiaTheme="minorEastAsia"/>
          <w:b/>
          <w:sz w:val="24"/>
        </w:rPr>
        <w:t>60</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"_Toc528526462" </w:instrText>
      </w:r>
      <w:r>
        <w:fldChar w:fldCharType="separate"/>
      </w:r>
      <w:r>
        <w:rPr>
          <w:rStyle w:val="16"/>
          <w:rFonts w:asciiTheme="minorEastAsia" w:hAnsiTheme="minorEastAsia" w:eastAsiaTheme="minorEastAsia"/>
          <w:b/>
          <w:sz w:val="24"/>
          <w:szCs w:val="24"/>
        </w:rPr>
        <w:t>4.1</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泉州台商投资区现行农村物流运营模式分析</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_Toc528526462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60</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"_Toc528526463" </w:instrText>
      </w:r>
      <w:r>
        <w:fldChar w:fldCharType="separate"/>
      </w:r>
      <w:r>
        <w:rPr>
          <w:rStyle w:val="16"/>
          <w:rFonts w:asciiTheme="minorEastAsia" w:hAnsiTheme="minorEastAsia" w:eastAsiaTheme="minorEastAsia"/>
          <w:b/>
          <w:sz w:val="24"/>
          <w:szCs w:val="24"/>
        </w:rPr>
        <w:t>4.2</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泉州台商投资区农村物流网络体系站点的选择方法</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_Toc528526463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67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"_Toc528526464" </w:instrText>
      </w:r>
      <w:r>
        <w:fldChar w:fldCharType="separate"/>
      </w:r>
      <w:r>
        <w:rPr>
          <w:rStyle w:val="16"/>
          <w:rFonts w:asciiTheme="minorEastAsia" w:hAnsiTheme="minorEastAsia" w:eastAsiaTheme="minorEastAsia"/>
          <w:b/>
          <w:sz w:val="24"/>
          <w:szCs w:val="24"/>
        </w:rPr>
        <w:t>4.3</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泉州台商投资区农村物流网络体系配送模式的选择</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_Toc528526464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70</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"_Toc528526465" </w:instrText>
      </w:r>
      <w:r>
        <w:fldChar w:fldCharType="separate"/>
      </w:r>
      <w:r>
        <w:rPr>
          <w:rStyle w:val="16"/>
          <w:rFonts w:asciiTheme="minorEastAsia" w:hAnsiTheme="minorEastAsia" w:eastAsiaTheme="minorEastAsia"/>
          <w:b/>
          <w:sz w:val="24"/>
          <w:szCs w:val="24"/>
        </w:rPr>
        <w:t>4.4</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泉州台商投资区农村物流网络运营要求</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_Toc528526465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71</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2"/>
        <w:tabs>
          <w:tab w:val="left" w:pos="1050"/>
          <w:tab w:val="right" w:leader="dot" w:pos="8296"/>
        </w:tabs>
        <w:spacing w:line="276" w:lineRule="auto"/>
        <w:rPr>
          <w:rFonts w:asciiTheme="minorEastAsia" w:hAnsiTheme="minorEastAsia" w:eastAsiaTheme="minorEastAsia" w:cstheme="minorBidi"/>
          <w:b/>
          <w:sz w:val="24"/>
        </w:rPr>
      </w:pPr>
      <w:r>
        <w:fldChar w:fldCharType="begin"/>
      </w:r>
      <w:r>
        <w:instrText xml:space="preserve"> HYPERLINK \l "_Toc528526466" </w:instrText>
      </w:r>
      <w:r>
        <w:fldChar w:fldCharType="separate"/>
      </w:r>
      <w:r>
        <w:rPr>
          <w:rStyle w:val="16"/>
          <w:rFonts w:hint="eastAsia" w:asciiTheme="minorEastAsia" w:hAnsiTheme="minorEastAsia" w:eastAsiaTheme="minorEastAsia"/>
          <w:b/>
          <w:bCs/>
          <w:kern w:val="44"/>
          <w:sz w:val="24"/>
        </w:rPr>
        <w:t>第5章</w:t>
      </w:r>
      <w:r>
        <w:rPr>
          <w:rFonts w:asciiTheme="minorEastAsia" w:hAnsiTheme="minorEastAsia" w:eastAsiaTheme="minorEastAsia" w:cstheme="minorBidi"/>
          <w:b/>
          <w:sz w:val="24"/>
        </w:rPr>
        <w:tab/>
      </w:r>
      <w:r>
        <w:rPr>
          <w:rStyle w:val="16"/>
          <w:rFonts w:hint="eastAsia" w:asciiTheme="minorEastAsia" w:hAnsiTheme="minorEastAsia" w:eastAsiaTheme="minorEastAsia"/>
          <w:b/>
          <w:bCs/>
          <w:kern w:val="44"/>
          <w:sz w:val="24"/>
        </w:rPr>
        <w:t>泉州台商投资区农村物流网络体系建设的保障措施</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_Toc528526466 \h </w:instrText>
      </w:r>
      <w:r>
        <w:rPr>
          <w:rFonts w:asciiTheme="minorEastAsia" w:hAnsiTheme="minorEastAsia" w:eastAsiaTheme="minorEastAsia"/>
          <w:b/>
          <w:sz w:val="24"/>
        </w:rPr>
        <w:fldChar w:fldCharType="separate"/>
      </w:r>
      <w:r>
        <w:rPr>
          <w:rFonts w:asciiTheme="minorEastAsia" w:hAnsiTheme="minorEastAsia" w:eastAsiaTheme="minorEastAsia"/>
          <w:b/>
          <w:sz w:val="24"/>
        </w:rPr>
        <w:t>73</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"_Toc528526467" </w:instrText>
      </w:r>
      <w:r>
        <w:fldChar w:fldCharType="separate"/>
      </w:r>
      <w:r>
        <w:rPr>
          <w:rStyle w:val="16"/>
          <w:rFonts w:asciiTheme="minorEastAsia" w:hAnsiTheme="minorEastAsia" w:eastAsiaTheme="minorEastAsia"/>
          <w:b/>
          <w:sz w:val="24"/>
          <w:szCs w:val="24"/>
        </w:rPr>
        <w:t>5.1</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组织保障</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_Toc528526467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"_Toc528526468" </w:instrText>
      </w:r>
      <w:r>
        <w:fldChar w:fldCharType="separate"/>
      </w:r>
      <w:r>
        <w:rPr>
          <w:rStyle w:val="16"/>
          <w:rFonts w:asciiTheme="minorEastAsia" w:hAnsiTheme="minorEastAsia" w:eastAsiaTheme="minorEastAsia"/>
          <w:b/>
          <w:sz w:val="24"/>
          <w:szCs w:val="24"/>
        </w:rPr>
        <w:t>5.2</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资金保障</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_Toc528526468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"_Toc528526469" </w:instrText>
      </w:r>
      <w:r>
        <w:fldChar w:fldCharType="separate"/>
      </w:r>
      <w:r>
        <w:rPr>
          <w:rStyle w:val="16"/>
          <w:rFonts w:asciiTheme="minorEastAsia" w:hAnsiTheme="minorEastAsia" w:eastAsiaTheme="minorEastAsia"/>
          <w:b/>
          <w:sz w:val="24"/>
          <w:szCs w:val="24"/>
        </w:rPr>
        <w:t>5.3</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政策保障</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_Toc528526469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74</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"_Toc528526470" </w:instrText>
      </w:r>
      <w:r>
        <w:fldChar w:fldCharType="separate"/>
      </w:r>
      <w:r>
        <w:rPr>
          <w:rStyle w:val="16"/>
          <w:rFonts w:asciiTheme="minorEastAsia" w:hAnsiTheme="minorEastAsia" w:eastAsiaTheme="minorEastAsia"/>
          <w:b/>
          <w:sz w:val="24"/>
          <w:szCs w:val="24"/>
        </w:rPr>
        <w:t>5.4</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人才保障</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_Toc528526470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"_Toc528526471" </w:instrText>
      </w:r>
      <w:r>
        <w:fldChar w:fldCharType="separate"/>
      </w:r>
      <w:r>
        <w:rPr>
          <w:rStyle w:val="16"/>
          <w:rFonts w:asciiTheme="minorEastAsia" w:hAnsiTheme="minorEastAsia" w:eastAsiaTheme="minorEastAsia"/>
          <w:b/>
          <w:sz w:val="24"/>
          <w:szCs w:val="24"/>
        </w:rPr>
        <w:t>5.5</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技术保障</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_Toc528526471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left" w:pos="1050"/>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"_Toc528526472" </w:instrText>
      </w:r>
      <w:r>
        <w:fldChar w:fldCharType="separate"/>
      </w:r>
      <w:r>
        <w:rPr>
          <w:rStyle w:val="16"/>
          <w:rFonts w:asciiTheme="minorEastAsia" w:hAnsiTheme="minorEastAsia" w:eastAsiaTheme="minorEastAsia"/>
          <w:b/>
          <w:sz w:val="24"/>
          <w:szCs w:val="24"/>
        </w:rPr>
        <w:t>5.6</w:t>
      </w:r>
      <w:r>
        <w:rPr>
          <w:rFonts w:asciiTheme="minorEastAsia" w:hAnsiTheme="minorEastAsia" w:eastAsiaTheme="minorEastAsia" w:cstheme="minorBidi"/>
          <w:sz w:val="24"/>
          <w:szCs w:val="24"/>
        </w:rPr>
        <w:tab/>
      </w:r>
      <w:r>
        <w:rPr>
          <w:rStyle w:val="16"/>
          <w:rFonts w:hint="eastAsia" w:asciiTheme="minorEastAsia" w:hAnsiTheme="minorEastAsia" w:eastAsiaTheme="minorEastAsia"/>
          <w:sz w:val="24"/>
          <w:szCs w:val="24"/>
        </w:rPr>
        <w:t>机制保障</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_Toc528526472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2"/>
        <w:tabs>
          <w:tab w:val="right" w:leader="dot" w:pos="8296"/>
        </w:tabs>
        <w:spacing w:line="276" w:lineRule="auto"/>
        <w:rPr>
          <w:rFonts w:asciiTheme="minorEastAsia" w:hAnsiTheme="minorEastAsia" w:eastAsiaTheme="minorEastAsia" w:cstheme="minorBidi"/>
          <w:b/>
          <w:sz w:val="24"/>
        </w:rPr>
      </w:pPr>
      <w:r>
        <w:fldChar w:fldCharType="begin"/>
      </w:r>
      <w:r>
        <w:instrText xml:space="preserve"> HYPERLINK \l "_Toc528526473" </w:instrText>
      </w:r>
      <w:r>
        <w:fldChar w:fldCharType="separate"/>
      </w:r>
      <w:r>
        <w:rPr>
          <w:rStyle w:val="16"/>
          <w:rFonts w:hint="eastAsia" w:asciiTheme="minorEastAsia" w:hAnsiTheme="minorEastAsia" w:eastAsiaTheme="minorEastAsia"/>
          <w:b/>
          <w:sz w:val="24"/>
        </w:rPr>
        <w:t>附录一</w:t>
      </w:r>
      <w:r>
        <w:rPr>
          <w:rStyle w:val="16"/>
          <w:rFonts w:asciiTheme="minorEastAsia" w:hAnsiTheme="minorEastAsia" w:eastAsiaTheme="minorEastAsia"/>
          <w:b/>
          <w:sz w:val="24"/>
        </w:rPr>
        <w:t xml:space="preserve"> </w:t>
      </w:r>
      <w:r>
        <w:rPr>
          <w:rStyle w:val="16"/>
          <w:rFonts w:hint="eastAsia" w:asciiTheme="minorEastAsia" w:hAnsiTheme="minorEastAsia" w:eastAsiaTheme="minorEastAsia"/>
          <w:b/>
          <w:sz w:val="24"/>
        </w:rPr>
        <w:t xml:space="preserve"> 泉州台商投资区各乡镇快递业务量预测分析</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_Toc528526473 \h </w:instrText>
      </w:r>
      <w:r>
        <w:rPr>
          <w:rFonts w:asciiTheme="minorEastAsia" w:hAnsiTheme="minorEastAsia" w:eastAsiaTheme="minorEastAsia"/>
          <w:b/>
          <w:sz w:val="24"/>
        </w:rPr>
        <w:fldChar w:fldCharType="separate"/>
      </w:r>
      <w:r>
        <w:rPr>
          <w:rFonts w:asciiTheme="minorEastAsia" w:hAnsiTheme="minorEastAsia" w:eastAsiaTheme="minorEastAsia"/>
          <w:b/>
          <w:sz w:val="24"/>
        </w:rPr>
        <w:t>80</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"_Toc528526474" </w:instrText>
      </w:r>
      <w:r>
        <w:fldChar w:fldCharType="separate"/>
      </w:r>
      <w:r>
        <w:rPr>
          <w:rStyle w:val="16"/>
          <w:rFonts w:asciiTheme="minorEastAsia" w:hAnsiTheme="minorEastAsia" w:eastAsiaTheme="minorEastAsia"/>
          <w:b/>
          <w:sz w:val="24"/>
          <w:szCs w:val="24"/>
        </w:rPr>
        <w:t>1.1</w:t>
      </w:r>
      <w:r>
        <w:rPr>
          <w:rStyle w:val="16"/>
          <w:rFonts w:hint="eastAsia" w:asciiTheme="minorEastAsia" w:hAnsiTheme="minorEastAsia" w:eastAsiaTheme="minorEastAsia"/>
          <w:sz w:val="24"/>
          <w:szCs w:val="24"/>
        </w:rPr>
        <w:t xml:space="preserve">  快递业务量影响因素分析</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_Toc528526474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80</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"_Toc528526475" </w:instrText>
      </w:r>
      <w:r>
        <w:fldChar w:fldCharType="separate"/>
      </w:r>
      <w:r>
        <w:rPr>
          <w:rStyle w:val="16"/>
          <w:rFonts w:asciiTheme="minorEastAsia" w:hAnsiTheme="minorEastAsia" w:eastAsiaTheme="minorEastAsia"/>
          <w:b/>
          <w:sz w:val="24"/>
          <w:szCs w:val="24"/>
        </w:rPr>
        <w:t>1.2</w:t>
      </w:r>
      <w:r>
        <w:rPr>
          <w:rStyle w:val="16"/>
          <w:rFonts w:hint="eastAsia" w:asciiTheme="minorEastAsia" w:hAnsiTheme="minorEastAsia" w:eastAsiaTheme="minorEastAsia"/>
          <w:sz w:val="24"/>
          <w:szCs w:val="24"/>
        </w:rPr>
        <w:t xml:space="preserve">  快递业务量指标模型构建</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_Toc528526475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84</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"_Toc528526476" </w:instrText>
      </w:r>
      <w:r>
        <w:fldChar w:fldCharType="separate"/>
      </w:r>
      <w:r>
        <w:rPr>
          <w:rStyle w:val="16"/>
          <w:rFonts w:asciiTheme="minorEastAsia" w:hAnsiTheme="minorEastAsia" w:eastAsiaTheme="minorEastAsia"/>
          <w:b/>
          <w:sz w:val="24"/>
          <w:szCs w:val="24"/>
        </w:rPr>
        <w:t>1.3</w:t>
      </w:r>
      <w:r>
        <w:rPr>
          <w:rStyle w:val="16"/>
          <w:rFonts w:asciiTheme="minorEastAsia" w:hAnsiTheme="minorEastAsia" w:eastAsiaTheme="minorEastAsia"/>
          <w:sz w:val="24"/>
          <w:szCs w:val="24"/>
        </w:rPr>
        <w:t xml:space="preserve"> </w:t>
      </w:r>
      <w:r>
        <w:rPr>
          <w:rStyle w:val="16"/>
          <w:rFonts w:hint="eastAsia" w:asciiTheme="minorEastAsia" w:hAnsiTheme="minorEastAsia" w:eastAsiaTheme="minorEastAsia"/>
          <w:sz w:val="24"/>
          <w:szCs w:val="24"/>
        </w:rPr>
        <w:t xml:space="preserve"> 快递业务量预测</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_Toc528526476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95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2"/>
        <w:tabs>
          <w:tab w:val="right" w:leader="dot" w:pos="8296"/>
        </w:tabs>
        <w:spacing w:line="276" w:lineRule="auto"/>
        <w:rPr>
          <w:rFonts w:asciiTheme="minorEastAsia" w:hAnsiTheme="minorEastAsia" w:eastAsiaTheme="minorEastAsia" w:cstheme="minorBidi"/>
          <w:b/>
          <w:sz w:val="24"/>
        </w:rPr>
      </w:pPr>
      <w:r>
        <w:fldChar w:fldCharType="begin"/>
      </w:r>
      <w:r>
        <w:instrText xml:space="preserve"> HYPERLINK \l "_Toc528526477" </w:instrText>
      </w:r>
      <w:r>
        <w:fldChar w:fldCharType="separate"/>
      </w:r>
      <w:r>
        <w:rPr>
          <w:rStyle w:val="16"/>
          <w:rFonts w:hint="eastAsia" w:asciiTheme="minorEastAsia" w:hAnsiTheme="minorEastAsia" w:eastAsiaTheme="minorEastAsia"/>
          <w:b/>
          <w:sz w:val="24"/>
        </w:rPr>
        <w:t>附录二</w:t>
      </w:r>
      <w:r>
        <w:rPr>
          <w:rStyle w:val="16"/>
          <w:rFonts w:asciiTheme="minorEastAsia" w:hAnsiTheme="minorEastAsia" w:eastAsiaTheme="minorEastAsia"/>
          <w:b/>
          <w:sz w:val="24"/>
        </w:rPr>
        <w:t xml:space="preserve"> </w:t>
      </w:r>
      <w:r>
        <w:rPr>
          <w:rStyle w:val="16"/>
          <w:rFonts w:hint="eastAsia" w:asciiTheme="minorEastAsia" w:hAnsiTheme="minorEastAsia" w:eastAsiaTheme="minorEastAsia"/>
          <w:b/>
          <w:sz w:val="24"/>
        </w:rPr>
        <w:t xml:space="preserve"> 泉州台商投资区农村物流网络体系规划方案评价</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_Toc528526477 \h </w:instrText>
      </w:r>
      <w:r>
        <w:rPr>
          <w:rFonts w:asciiTheme="minorEastAsia" w:hAnsiTheme="minorEastAsia" w:eastAsiaTheme="minorEastAsia"/>
          <w:b/>
          <w:sz w:val="24"/>
        </w:rPr>
        <w:fldChar w:fldCharType="separate"/>
      </w:r>
      <w:r>
        <w:rPr>
          <w:rFonts w:asciiTheme="minorEastAsia" w:hAnsiTheme="minorEastAsia" w:eastAsiaTheme="minorEastAsia"/>
          <w:b/>
          <w:sz w:val="24"/>
        </w:rPr>
        <w:t>106</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"_Toc528526478" </w:instrText>
      </w:r>
      <w:r>
        <w:fldChar w:fldCharType="separate"/>
      </w:r>
      <w:r>
        <w:rPr>
          <w:rStyle w:val="16"/>
          <w:rFonts w:asciiTheme="minorEastAsia" w:hAnsiTheme="minorEastAsia" w:eastAsiaTheme="minorEastAsia"/>
          <w:b/>
          <w:sz w:val="24"/>
          <w:szCs w:val="24"/>
        </w:rPr>
        <w:t>2.1</w:t>
      </w:r>
      <w:r>
        <w:rPr>
          <w:rStyle w:val="16"/>
          <w:rFonts w:hint="eastAsia" w:asciiTheme="minorEastAsia" w:hAnsiTheme="minorEastAsia" w:eastAsiaTheme="minorEastAsia"/>
          <w:sz w:val="24"/>
          <w:szCs w:val="24"/>
        </w:rPr>
        <w:t xml:space="preserve">  评价方法与过程</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_Toc528526478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106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right" w:leader="dot" w:pos="8296"/>
        </w:tabs>
        <w:spacing w:line="276" w:lineRule="auto"/>
        <w:ind w:left="998"/>
        <w:rPr>
          <w:rFonts w:asciiTheme="minorEastAsia" w:hAnsiTheme="minorEastAsia" w:eastAsiaTheme="minorEastAsia" w:cstheme="minorBidi"/>
          <w:sz w:val="24"/>
          <w:szCs w:val="24"/>
        </w:rPr>
      </w:pPr>
      <w:r>
        <w:fldChar w:fldCharType="begin"/>
      </w:r>
      <w:r>
        <w:instrText xml:space="preserve"> HYPERLINK \l "_Toc528526479" </w:instrText>
      </w:r>
      <w:r>
        <w:fldChar w:fldCharType="separate"/>
      </w:r>
      <w:r>
        <w:rPr>
          <w:rStyle w:val="16"/>
          <w:rFonts w:asciiTheme="minorEastAsia" w:hAnsiTheme="minorEastAsia" w:eastAsiaTheme="minorEastAsia"/>
          <w:b/>
          <w:sz w:val="24"/>
          <w:szCs w:val="24"/>
        </w:rPr>
        <w:t>2.2</w:t>
      </w:r>
      <w:r>
        <w:rPr>
          <w:rStyle w:val="16"/>
          <w:rFonts w:hint="eastAsia" w:asciiTheme="minorEastAsia" w:hAnsiTheme="minorEastAsia" w:eastAsiaTheme="minorEastAsia"/>
          <w:sz w:val="24"/>
          <w:szCs w:val="24"/>
        </w:rPr>
        <w:t xml:space="preserve">  农村物流网络体系规划指标评价及分析</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_Toc528526479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114</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13"/>
        <w:tabs>
          <w:tab w:val="right" w:leader="dot" w:pos="8296"/>
        </w:tabs>
        <w:spacing w:line="276" w:lineRule="auto"/>
        <w:ind w:left="998"/>
        <w:rPr>
          <w:rFonts w:asciiTheme="minorHAnsi" w:hAnsiTheme="minorHAnsi" w:eastAsiaTheme="minorEastAsia" w:cstheme="minorBidi"/>
          <w:szCs w:val="22"/>
        </w:rPr>
      </w:pPr>
      <w:r>
        <w:fldChar w:fldCharType="begin"/>
      </w:r>
      <w:r>
        <w:instrText xml:space="preserve"> HYPERLINK \l "_Toc528526480" </w:instrText>
      </w:r>
      <w:r>
        <w:fldChar w:fldCharType="separate"/>
      </w:r>
      <w:r>
        <w:rPr>
          <w:rStyle w:val="16"/>
          <w:rFonts w:asciiTheme="minorEastAsia" w:hAnsiTheme="minorEastAsia" w:eastAsiaTheme="minorEastAsia"/>
          <w:b/>
          <w:sz w:val="24"/>
          <w:szCs w:val="24"/>
        </w:rPr>
        <w:t>2.3</w:t>
      </w:r>
      <w:r>
        <w:rPr>
          <w:rStyle w:val="16"/>
          <w:rFonts w:hint="eastAsia" w:asciiTheme="minorEastAsia" w:hAnsiTheme="minorEastAsia" w:eastAsiaTheme="minorEastAsia"/>
          <w:b/>
          <w:sz w:val="24"/>
          <w:szCs w:val="24"/>
        </w:rPr>
        <w:t xml:space="preserve"> </w:t>
      </w:r>
      <w:r>
        <w:rPr>
          <w:rStyle w:val="16"/>
          <w:rFonts w:hint="eastAsia" w:asciiTheme="minorEastAsia" w:hAnsiTheme="minorEastAsia" w:eastAsiaTheme="minorEastAsia"/>
          <w:sz w:val="24"/>
          <w:szCs w:val="24"/>
        </w:rPr>
        <w:t xml:space="preserve"> 泉州台商投资区农村物流网络体系规划定性评价</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_Toc528526480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117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snapToGrid w:val="0"/>
        <w:spacing w:before="0" w:after="0" w:line="276" w:lineRule="auto"/>
        <w:ind w:left="560" w:firstLine="5740" w:firstLineChars="2050"/>
        <w:jc w:val="left"/>
        <w:rPr>
          <w:rFonts w:ascii="宋体" w:hAnsi="宋体" w:cs="宋体"/>
          <w:color w:val="000000" w:themeColor="text1"/>
          <w:sz w:val="28"/>
          <w:szCs w:val="28"/>
        </w:rPr>
      </w:pPr>
      <w:r>
        <w:rPr>
          <w:rFonts w:ascii="宋体" w:hAnsi="宋体" w:cs="宋体"/>
          <w:color w:val="000000" w:themeColor="text1"/>
          <w:sz w:val="28"/>
          <w:szCs w:val="28"/>
        </w:rPr>
        <w:fldChar w:fldCharType="end"/>
      </w:r>
    </w:p>
    <w:p>
      <w:pPr>
        <w:snapToGrid w:val="0"/>
        <w:spacing w:before="0" w:after="0" w:line="360" w:lineRule="auto"/>
        <w:ind w:left="560" w:firstLine="5740" w:firstLineChars="2050"/>
        <w:jc w:val="left"/>
        <w:rPr>
          <w:rFonts w:ascii="宋体" w:hAnsi="宋体" w:cs="宋体"/>
          <w:color w:val="000000" w:themeColor="text1"/>
          <w:sz w:val="28"/>
          <w:szCs w:val="28"/>
        </w:rPr>
        <w:sectPr>
          <w:headerReference r:id="rId8" w:type="default"/>
          <w:pgSz w:w="11906" w:h="16838"/>
          <w:pgMar w:top="1440" w:right="1800" w:bottom="1440" w:left="1800" w:header="851" w:footer="992" w:gutter="0"/>
          <w:pgNumType w:start="1" w:chapStyle="1"/>
          <w:cols w:space="425" w:num="1"/>
          <w:titlePg/>
          <w:docGrid w:type="lines" w:linePitch="312" w:charSpace="0"/>
        </w:sectPr>
      </w:pPr>
    </w:p>
    <w:p>
      <w:pPr>
        <w:pStyle w:val="2"/>
        <w:numPr>
          <w:ilvl w:val="0"/>
          <w:numId w:val="2"/>
        </w:numPr>
        <w:spacing w:beforeLines="0"/>
        <w:ind w:left="0" w:firstLine="0"/>
        <w:rPr>
          <w:rFonts w:ascii="黑体" w:hAnsi="黑体"/>
          <w:b w:val="0"/>
          <w:bCs w:val="0"/>
          <w:color w:val="000000" w:themeColor="text1"/>
        </w:rPr>
      </w:pPr>
      <w:bookmarkStart w:id="0" w:name="_Toc472969082"/>
      <w:r>
        <w:rPr>
          <w:rFonts w:ascii="Times New Roman" w:hAnsi="Times New Roman" w:eastAsia="宋体"/>
          <w:color w:val="000000" w:themeColor="text1"/>
          <w:sz w:val="44"/>
        </w:rPr>
        <w:br w:type="page"/>
      </w:r>
      <w:bookmarkStart w:id="1" w:name="_Toc528526442"/>
      <w:r>
        <w:rPr>
          <w:rFonts w:hint="eastAsia" w:ascii="黑体" w:hAnsi="黑体"/>
          <w:b w:val="0"/>
          <w:color w:val="000000" w:themeColor="text1"/>
          <w:sz w:val="44"/>
        </w:rPr>
        <w:t>概述</w:t>
      </w:r>
      <w:bookmarkEnd w:id="1"/>
    </w:p>
    <w:p>
      <w:pPr>
        <w:pStyle w:val="3"/>
        <w:numPr>
          <w:ilvl w:val="1"/>
          <w:numId w:val="2"/>
        </w:numPr>
        <w:ind w:left="578" w:hanging="578"/>
        <w:jc w:val="left"/>
        <w:rPr>
          <w:rFonts w:ascii="Times New Roman" w:hAnsi="Times New Roman"/>
          <w:color w:val="000000" w:themeColor="text1"/>
        </w:rPr>
      </w:pPr>
      <w:bookmarkStart w:id="2" w:name="_Toc528526443"/>
      <w:r>
        <w:rPr>
          <w:rFonts w:hint="eastAsia" w:ascii="Times New Roman" w:hAnsi="Times New Roman"/>
          <w:color w:val="000000" w:themeColor="text1"/>
        </w:rPr>
        <w:t>规划背景</w:t>
      </w:r>
      <w:bookmarkEnd w:id="2"/>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泉州台商投资区成立于2010年，为国家级台商投资区，也是泉州国家高新技术产业开发区的主园区，下辖洛阳镇、东园镇、张坂镇、百崎乡和省级惠南工业园区，区域面积200平方公里，人口约22.8万人，坐拥“泉州之眼”百崎湖，建有海上丝绸之路艺术公园。</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《泉州市人民政府办公室转发市经信委 市交通运输委关于推动交通物流融合发展促进物流业降本增效专项行动方案（2017—2020年）的通知》（泉政办〔2017〕84号）文中提出要健全农村物流配送网络。推进农产品标准化包装、农产品冷链物流设施和农产品批发市场建设，推动区级仓储配送中心、农村物流快递公共取送点建设，打通农资、消费品下乡和农产品进城高效便捷的双向通道，破解农产品进城“最初一公里”和工业品下乡“最后一公里”的配送瓶颈。整合利用现有邮政、供销、交通等物流网点和渠道，支持物流快递企业利用乡镇综合服务站、农村客运站、村邮站、农村超市、农村淘宝店、农家店等设置快递服务网点。到2020年，构建“县级仓储配送中心—乡镇快递网点—村邮站”县乡村三级物流配送网络，实现全市快递网点乡镇全覆盖、行政村直接通邮。</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交通运输部办公厅关于进一步加强农村物流网络节点体系建设的通知（交运办[2016]139号文）指出：为深入贯彻中央1号文件和《物流业发展中长期规划（2014—2020年）》（国发〔2014〕42号）有关精神，进一步落实《交通运输部 农业部 供销合作总社 国家邮政局关于协同推进农村物流健康发展 加快服务农业现代化的若干意见》（交运发〔2015〕25号）的工作部署，要加快推进农村物流县、乡、村三级网络节点体系建设，不断提升农村物流服务水平。同时强调加强农村物流网络节点体系建设，是实现全面建成小康社会目标的客观要求，是破解制约农业农村发展瓶颈的重要举措，也是加快补齐物流业发展短板、降低城乡流通费用的重要抓手。各级交通运输主管部门要站在保障和改善民生、支撑农业现代化建设、服务国民经济发展大局的高度，采取积极有效措施，着力推进农村物流网络节点的集约化布局、标准化建设和规范化运营，为加快构建顺畅快捷、经济高效、便民利民的农村物流服务体系提供有力支撑。</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农村物流网络节点体系包括县</w:t>
      </w:r>
      <w:r>
        <w:rPr>
          <w:rFonts w:hint="eastAsia" w:ascii="宋体" w:hAnsi="宋体" w:cs="宋体"/>
          <w:color w:val="000000" w:themeColor="text1"/>
          <w:sz w:val="28"/>
          <w:szCs w:val="28"/>
        </w:rPr>
        <w:t>（市、区）</w:t>
      </w:r>
      <w:r>
        <w:rPr>
          <w:rFonts w:hint="eastAsia"/>
          <w:color w:val="000000" w:themeColor="text1"/>
          <w:kern w:val="0"/>
          <w:sz w:val="28"/>
        </w:rPr>
        <w:t>级农村物流中心、乡镇农村物流服务站、村级农村物流服务点三个层级，是农村地区重要的公共服务基础设施，也是支撑农村物流健康发展的先行条件，对于保障城乡物资双向顺畅流动、提升农村基本公共服务水平、支撑农业现代化发展具有重要作用。</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为推进城乡基础设施一体化，支撑农村物流健康发展、提升农村基本公共服务水平、加快构建顺畅快捷、经济高效、便民利民的农村物流服务体系。同时为农村电子商务保驾护航，</w:t>
      </w:r>
      <w:r>
        <w:rPr>
          <w:rFonts w:hint="eastAsia"/>
          <w:color w:val="FF0000"/>
          <w:kern w:val="0"/>
          <w:sz w:val="28"/>
          <w:lang w:val="en-US" w:eastAsia="zh-CN"/>
        </w:rPr>
        <w:t>泉州台商投资区规划建设与交通运输局</w:t>
      </w:r>
      <w:r>
        <w:rPr>
          <w:color w:val="000000" w:themeColor="text1"/>
          <w:kern w:val="0"/>
          <w:sz w:val="28"/>
        </w:rPr>
        <w:t>委托福建船政交通职业学院进行</w:t>
      </w:r>
      <w:r>
        <w:rPr>
          <w:rFonts w:hint="eastAsia"/>
          <w:color w:val="000000" w:themeColor="text1"/>
          <w:kern w:val="0"/>
          <w:sz w:val="28"/>
        </w:rPr>
        <w:t>泉州台商投资区三级农村物流网络体系规划</w:t>
      </w:r>
      <w:r>
        <w:rPr>
          <w:color w:val="000000" w:themeColor="text1"/>
          <w:kern w:val="0"/>
          <w:sz w:val="28"/>
        </w:rPr>
        <w:t>的研究和编制工作。</w:t>
      </w:r>
    </w:p>
    <w:p>
      <w:pPr>
        <w:pStyle w:val="3"/>
        <w:numPr>
          <w:ilvl w:val="1"/>
          <w:numId w:val="2"/>
        </w:numPr>
        <w:ind w:left="578" w:hanging="578"/>
        <w:jc w:val="left"/>
        <w:rPr>
          <w:rFonts w:ascii="Times New Roman" w:hAnsi="Times New Roman"/>
          <w:color w:val="000000" w:themeColor="text1"/>
        </w:rPr>
      </w:pPr>
      <w:bookmarkStart w:id="3" w:name="_Toc528526444"/>
      <w:r>
        <w:rPr>
          <w:rFonts w:hint="eastAsia" w:ascii="Times New Roman" w:hAnsi="Times New Roman"/>
          <w:color w:val="000000" w:themeColor="text1"/>
        </w:rPr>
        <w:t>规划依据</w:t>
      </w:r>
      <w:bookmarkEnd w:id="3"/>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（1）《物流业发展中长期规划（2014-2020年）》（国发〔2014〕42号）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（2）《交通运输部 农业部 供销合作总社 国家邮政局关于协同推进农村物流健康发展 加快服务农业现代化的若干意见》（交运发〔2015〕25号）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（3）《国务院办公厅关于促进农村电子商务加快发展的指导意见》（国办发〔2015〕78号）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（4）《财政部办公厅、商务部办公厅关于开展2015年电子商务进农村综合示范工作的通知》（财办建〔2015〕60号）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（5）《道路旅客运输及客运站管理规定》（2016年12月6日修正版）</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（6）《交通运输部办公厅关于进一步加强农村物流网络节点体系建设的通知》（交办运〔2016〕139号）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（7）《财政部、商务部关于中央财政支持冷链物流发展的工作通知》（财建〔2016〕318号）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（8）国家发展改革委等十部委《关于加强物流短板建设促进有效投资和居民消费的若干意见》（发改经贸[2016]433号）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（9）《商务部 公安部 交通运输部 国家邮政局 供销合作总社关于印发&lt;城乡高效配送专项行动计划（2017-2020年）&gt;的通知》（商流通函[2017]917号）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（10）《综合运输服务“十三五”发展规划》</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（11）《“十三五”交通扶贫规划》</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（12）《汽车货运站（场）级别划分和建设要求》（JT/T402-1999）</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（13）福建省经信委、发改委、商务厅制定的《福建省加快物流业发展实施方案（2016-2020年）》</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（14）《福建省商务厅关于进一步做好电子商务进农村综合示范工作的通知》（闽商务电商〔2016〕8号）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（15）《福建省国民经济和社会发展第十三个五年规划纲要》</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（16）《福建省商务厅、财政厅关于印发电子商务进农村综合示范中央财政资金使用指引的通知》（闽商务电商〔2016〕10号）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（17）《福建省人民政府办公厅关于促进冷链物流加快发展六条措施的通知》（闽政办〔2016〕134号）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（18）《福建省运输管理局关于进一步加强道路货运站（场）规范管理工作的通知》（闽运管站场【</w:t>
      </w:r>
      <w:r>
        <w:rPr>
          <w:color w:val="000000" w:themeColor="text1"/>
          <w:kern w:val="0"/>
          <w:sz w:val="28"/>
        </w:rPr>
        <w:t>2017</w:t>
      </w:r>
      <w:r>
        <w:rPr>
          <w:rFonts w:hint="eastAsia"/>
          <w:color w:val="000000" w:themeColor="text1"/>
          <w:kern w:val="0"/>
          <w:sz w:val="28"/>
        </w:rPr>
        <w:t>】</w:t>
      </w:r>
      <w:r>
        <w:rPr>
          <w:color w:val="000000" w:themeColor="text1"/>
          <w:kern w:val="0"/>
          <w:sz w:val="28"/>
        </w:rPr>
        <w:t>7</w:t>
      </w:r>
      <w:r>
        <w:rPr>
          <w:rFonts w:hint="eastAsia"/>
          <w:color w:val="000000" w:themeColor="text1"/>
          <w:kern w:val="0"/>
          <w:sz w:val="28"/>
        </w:rPr>
        <w:t>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（19）《福建省交通运输厅 福建省社会管理综合治理委员会办公室 福建省公安厅关于落实道路货运物流安全联合管控八项措施的通知》（闽交综治〔2017〕19号）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（20）泉州市人民政府办公室关于印发泉州市电子商务发展三年行动方案（2016-2018）的通知（泉政办〔2016〕50号）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（21）《泉州市人民政府办公室关于促进冷链物流加快发展的实施意见》（泉政办</w:t>
      </w:r>
      <w:r>
        <w:rPr>
          <w:color w:val="000000" w:themeColor="text1"/>
          <w:kern w:val="0"/>
          <w:sz w:val="28"/>
        </w:rPr>
        <w:t>[2017]1</w:t>
      </w:r>
      <w:r>
        <w:rPr>
          <w:rFonts w:hint="eastAsia"/>
          <w:color w:val="000000" w:themeColor="text1"/>
          <w:kern w:val="0"/>
          <w:sz w:val="28"/>
        </w:rPr>
        <w:t>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（22）《泉州市人民政府办公室转发市经信委 市交通运输委关于推动交通物流融合发展促进物流业降本增效专项行动方案（2017—2020年）的通知》（泉政办〔2017〕84 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（23）《泉州市交通运输委员会关于做好三级农村物流网络体系规划编制的通知》（泉交委运明电〔2018〕10号）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（24）《泉州市人民政府办公室关于贯彻落实福建省推进电子商务与快递物流协同发展实施方案的通知》（泉政办明传〔2018〕99 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（25）《泉州市统计年鉴》</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（26）泉州台商投资区实地调研资料</w:t>
      </w:r>
    </w:p>
    <w:p>
      <w:pPr>
        <w:pStyle w:val="3"/>
        <w:jc w:val="left"/>
        <w:rPr>
          <w:rFonts w:ascii="Times New Roman" w:hAnsi="Times New Roman"/>
          <w:color w:val="000000" w:themeColor="text1"/>
        </w:rPr>
      </w:pPr>
      <w:bookmarkStart w:id="4" w:name="_Toc528526445"/>
      <w:r>
        <w:rPr>
          <w:rFonts w:hint="eastAsia" w:ascii="Times New Roman" w:hAnsi="Times New Roman"/>
          <w:color w:val="000000" w:themeColor="text1"/>
        </w:rPr>
        <w:t>1.3规划期限</w:t>
      </w:r>
      <w:bookmarkEnd w:id="4"/>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本规划的基年为2018年，规划期限为2018年~2025年，规划分为两个阶段，分别为：</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近期：2019年~2020年；</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中远期：2021年~2025年。</w:t>
      </w:r>
    </w:p>
    <w:p>
      <w:pPr>
        <w:pStyle w:val="3"/>
        <w:jc w:val="left"/>
        <w:rPr>
          <w:rFonts w:ascii="Times New Roman" w:hAnsi="Times New Roman"/>
          <w:color w:val="000000" w:themeColor="text1"/>
        </w:rPr>
      </w:pPr>
      <w:bookmarkStart w:id="5" w:name="_Toc528526446"/>
      <w:r>
        <w:rPr>
          <w:rFonts w:hint="eastAsia" w:ascii="Times New Roman" w:hAnsi="Times New Roman"/>
          <w:color w:val="000000" w:themeColor="text1"/>
        </w:rPr>
        <w:t>1.4规划内容</w:t>
      </w:r>
      <w:bookmarkEnd w:id="5"/>
    </w:p>
    <w:p>
      <w:pPr>
        <w:pStyle w:val="4"/>
        <w:widowControl/>
        <w:spacing w:before="240" w:after="60" w:line="240" w:lineRule="auto"/>
        <w:ind w:left="720" w:hanging="720"/>
        <w:jc w:val="left"/>
        <w:rPr>
          <w:rFonts w:eastAsia="黑体"/>
          <w:bCs/>
          <w:color w:val="000000" w:themeColor="text1"/>
          <w:sz w:val="30"/>
          <w:szCs w:val="30"/>
          <w:lang w:bidi="en-US"/>
        </w:rPr>
      </w:pPr>
      <w:r>
        <w:rPr>
          <w:rFonts w:hint="eastAsia" w:eastAsia="黑体"/>
          <w:bCs/>
          <w:color w:val="000000" w:themeColor="text1"/>
          <w:sz w:val="30"/>
          <w:szCs w:val="30"/>
          <w:lang w:bidi="en-US"/>
        </w:rPr>
        <w:t>1.4.1 规划范围</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本规划范围为泉州台商投资区所辖4个镇、78个村委会，乡镇包括洛阳镇、东园镇、张坂镇、百崎回族乡。</w:t>
      </w:r>
      <w:r>
        <w:rPr>
          <w:color w:val="000000" w:themeColor="text1"/>
          <w:kern w:val="0"/>
          <w:sz w:val="28"/>
        </w:rPr>
        <w:t>具体规划范围如</w:t>
      </w:r>
      <w:r>
        <w:rPr>
          <w:rFonts w:hint="eastAsia"/>
          <w:color w:val="000000" w:themeColor="text1"/>
          <w:kern w:val="0"/>
          <w:sz w:val="28"/>
        </w:rPr>
        <w:t>表1-1</w:t>
      </w:r>
      <w:r>
        <w:rPr>
          <w:color w:val="000000" w:themeColor="text1"/>
          <w:kern w:val="0"/>
          <w:sz w:val="28"/>
        </w:rPr>
        <w:t>所示。</w:t>
      </w:r>
    </w:p>
    <w:p>
      <w:pPr>
        <w:widowControl/>
        <w:spacing w:line="360" w:lineRule="auto"/>
        <w:jc w:val="center"/>
        <w:rPr>
          <w:b/>
          <w:bCs/>
          <w:color w:val="000000" w:themeColor="text1"/>
          <w:kern w:val="0"/>
          <w:sz w:val="24"/>
          <w:szCs w:val="18"/>
        </w:rPr>
      </w:pPr>
      <w:bookmarkStart w:id="6" w:name="_Toc470272489"/>
      <w:bookmarkStart w:id="7" w:name="_Toc429400242"/>
      <w:r>
        <w:rPr>
          <w:b/>
          <w:bCs/>
          <w:color w:val="000000" w:themeColor="text1"/>
          <w:kern w:val="0"/>
          <w:sz w:val="24"/>
          <w:szCs w:val="18"/>
        </w:rPr>
        <w:t>表</w:t>
      </w:r>
      <w:r>
        <w:rPr>
          <w:b/>
          <w:bCs/>
          <w:color w:val="000000" w:themeColor="text1"/>
          <w:kern w:val="0"/>
          <w:sz w:val="24"/>
          <w:szCs w:val="18"/>
        </w:rPr>
        <w:fldChar w:fldCharType="begin"/>
      </w:r>
      <w:r>
        <w:rPr>
          <w:b/>
          <w:bCs/>
          <w:color w:val="000000" w:themeColor="text1"/>
          <w:kern w:val="0"/>
          <w:sz w:val="24"/>
          <w:szCs w:val="18"/>
        </w:rPr>
        <w:instrText xml:space="preserve"> STYLEREF 1 \s </w:instrText>
      </w:r>
      <w:r>
        <w:rPr>
          <w:b/>
          <w:bCs/>
          <w:color w:val="000000" w:themeColor="text1"/>
          <w:kern w:val="0"/>
          <w:sz w:val="24"/>
          <w:szCs w:val="18"/>
        </w:rPr>
        <w:fldChar w:fldCharType="separate"/>
      </w:r>
      <w:r>
        <w:rPr>
          <w:b/>
          <w:bCs/>
          <w:color w:val="000000" w:themeColor="text1"/>
          <w:kern w:val="0"/>
          <w:sz w:val="24"/>
          <w:szCs w:val="18"/>
        </w:rPr>
        <w:t>1</w:t>
      </w:r>
      <w:r>
        <w:rPr>
          <w:b/>
          <w:bCs/>
          <w:color w:val="000000" w:themeColor="text1"/>
          <w:kern w:val="0"/>
          <w:sz w:val="24"/>
          <w:szCs w:val="18"/>
        </w:rPr>
        <w:fldChar w:fldCharType="end"/>
      </w:r>
      <w:r>
        <w:rPr>
          <w:b/>
          <w:bCs/>
          <w:color w:val="000000" w:themeColor="text1"/>
          <w:kern w:val="0"/>
          <w:sz w:val="24"/>
          <w:szCs w:val="18"/>
        </w:rPr>
        <w:t>-</w:t>
      </w:r>
      <w:r>
        <w:rPr>
          <w:b/>
          <w:bCs/>
          <w:color w:val="000000" w:themeColor="text1"/>
          <w:kern w:val="0"/>
          <w:sz w:val="24"/>
          <w:szCs w:val="18"/>
        </w:rPr>
        <w:fldChar w:fldCharType="begin"/>
      </w:r>
      <w:r>
        <w:rPr>
          <w:b/>
          <w:bCs/>
          <w:color w:val="000000" w:themeColor="text1"/>
          <w:kern w:val="0"/>
          <w:sz w:val="24"/>
          <w:szCs w:val="18"/>
        </w:rPr>
        <w:instrText xml:space="preserve"> SEQ 表 \* ARABIC \s 1 </w:instrText>
      </w:r>
      <w:r>
        <w:rPr>
          <w:b/>
          <w:bCs/>
          <w:color w:val="000000" w:themeColor="text1"/>
          <w:kern w:val="0"/>
          <w:sz w:val="24"/>
          <w:szCs w:val="18"/>
        </w:rPr>
        <w:fldChar w:fldCharType="separate"/>
      </w:r>
      <w:r>
        <w:rPr>
          <w:b/>
          <w:bCs/>
          <w:color w:val="000000" w:themeColor="text1"/>
          <w:kern w:val="0"/>
          <w:sz w:val="24"/>
          <w:szCs w:val="18"/>
        </w:rPr>
        <w:t>1</w:t>
      </w:r>
      <w:r>
        <w:rPr>
          <w:b/>
          <w:bCs/>
          <w:color w:val="000000" w:themeColor="text1"/>
          <w:kern w:val="0"/>
          <w:sz w:val="24"/>
          <w:szCs w:val="18"/>
        </w:rPr>
        <w:fldChar w:fldCharType="end"/>
      </w:r>
      <w:r>
        <w:rPr>
          <w:rFonts w:hint="eastAsia"/>
          <w:b/>
          <w:bCs/>
          <w:color w:val="000000" w:themeColor="text1"/>
          <w:kern w:val="0"/>
          <w:sz w:val="24"/>
          <w:szCs w:val="18"/>
        </w:rPr>
        <w:t>泉州台商投资区农村物流网络体系</w:t>
      </w:r>
      <w:r>
        <w:rPr>
          <w:b/>
          <w:bCs/>
          <w:color w:val="000000" w:themeColor="text1"/>
          <w:kern w:val="0"/>
          <w:sz w:val="24"/>
          <w:szCs w:val="18"/>
        </w:rPr>
        <w:t>规划范围</w:t>
      </w:r>
      <w:bookmarkEnd w:id="6"/>
      <w:bookmarkEnd w:id="7"/>
    </w:p>
    <w:tbl>
      <w:tblPr>
        <w:tblStyle w:val="18"/>
        <w:tblW w:w="8799" w:type="dxa"/>
        <w:tblInd w:w="0" w:type="dxa"/>
        <w:tblBorders>
          <w:top w:val="thinThickSmallGap" w:color="auto" w:sz="18" w:space="0"/>
          <w:left w:val="thinThickSmallGap" w:color="auto" w:sz="18" w:space="0"/>
          <w:bottom w:val="thinThickSmallGap" w:color="auto" w:sz="18" w:space="0"/>
          <w:right w:val="thinThickSmallGap"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6386"/>
        <w:gridCol w:w="1358"/>
      </w:tblGrid>
      <w:tr>
        <w:tblPrEx>
          <w:tblBorders>
            <w:top w:val="thinThickSmallGap" w:color="auto" w:sz="18" w:space="0"/>
            <w:left w:val="thinThickSmallGap" w:color="auto" w:sz="18" w:space="0"/>
            <w:bottom w:val="thinThickSmallGap" w:color="auto" w:sz="18" w:space="0"/>
            <w:right w:val="thinThickSmallGap"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055" w:type="dxa"/>
            <w:vAlign w:val="center"/>
          </w:tcPr>
          <w:p>
            <w:pPr>
              <w:spacing w:line="276" w:lineRule="auto"/>
              <w:jc w:val="center"/>
              <w:rPr>
                <w:b/>
                <w:bCs/>
                <w:color w:val="000000" w:themeColor="text1"/>
                <w:kern w:val="0"/>
              </w:rPr>
            </w:pPr>
            <w:r>
              <w:rPr>
                <w:b/>
                <w:bCs/>
                <w:color w:val="000000" w:themeColor="text1"/>
                <w:kern w:val="0"/>
              </w:rPr>
              <w:t>规划区</w:t>
            </w:r>
          </w:p>
        </w:tc>
        <w:tc>
          <w:tcPr>
            <w:tcW w:w="6386" w:type="dxa"/>
            <w:vAlign w:val="center"/>
          </w:tcPr>
          <w:p>
            <w:pPr>
              <w:spacing w:line="276" w:lineRule="auto"/>
              <w:jc w:val="center"/>
              <w:rPr>
                <w:b/>
                <w:bCs/>
                <w:color w:val="000000" w:themeColor="text1"/>
                <w:kern w:val="0"/>
              </w:rPr>
            </w:pPr>
            <w:r>
              <w:rPr>
                <w:b/>
                <w:bCs/>
                <w:color w:val="000000" w:themeColor="text1"/>
                <w:kern w:val="0"/>
              </w:rPr>
              <w:t>行政辖区</w:t>
            </w:r>
          </w:p>
        </w:tc>
        <w:tc>
          <w:tcPr>
            <w:tcW w:w="1358" w:type="dxa"/>
            <w:vAlign w:val="center"/>
          </w:tcPr>
          <w:p>
            <w:pPr>
              <w:spacing w:line="276" w:lineRule="auto"/>
              <w:jc w:val="center"/>
              <w:rPr>
                <w:b/>
                <w:bCs/>
                <w:color w:val="000000" w:themeColor="text1"/>
                <w:kern w:val="0"/>
              </w:rPr>
            </w:pPr>
            <w:r>
              <w:rPr>
                <w:b/>
                <w:bCs/>
                <w:color w:val="000000" w:themeColor="text1"/>
                <w:kern w:val="0"/>
              </w:rPr>
              <w:t>村委（个）</w:t>
            </w:r>
          </w:p>
        </w:tc>
      </w:tr>
      <w:tr>
        <w:tblPrEx>
          <w:tblBorders>
            <w:top w:val="thinThickSmallGap" w:color="auto" w:sz="18" w:space="0"/>
            <w:left w:val="thinThickSmallGap" w:color="auto" w:sz="18" w:space="0"/>
            <w:bottom w:val="thinThickSmallGap" w:color="auto" w:sz="18" w:space="0"/>
            <w:right w:val="thinThickSmallGap"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685" w:hRule="atLeast"/>
        </w:trPr>
        <w:tc>
          <w:tcPr>
            <w:tcW w:w="1055" w:type="dxa"/>
            <w:vAlign w:val="center"/>
          </w:tcPr>
          <w:p>
            <w:pPr>
              <w:spacing w:line="276" w:lineRule="auto"/>
              <w:jc w:val="left"/>
              <w:rPr>
                <w:color w:val="000000" w:themeColor="text1"/>
                <w:kern w:val="0"/>
                <w:sz w:val="24"/>
              </w:rPr>
            </w:pPr>
            <w:r>
              <w:rPr>
                <w:rFonts w:hint="eastAsia" w:ascii="宋体" w:hAnsi="宋体" w:cs="宋体"/>
                <w:b/>
                <w:bCs/>
                <w:color w:val="000000" w:themeColor="text1"/>
                <w:kern w:val="0"/>
                <w:sz w:val="22"/>
                <w:szCs w:val="22"/>
              </w:rPr>
              <w:t>洛阳镇</w:t>
            </w:r>
          </w:p>
        </w:tc>
        <w:tc>
          <w:tcPr>
            <w:tcW w:w="6386" w:type="dxa"/>
            <w:vAlign w:val="center"/>
          </w:tcPr>
          <w:p>
            <w:pPr>
              <w:spacing w:before="0" w:after="0" w:line="276" w:lineRule="auto"/>
              <w:ind w:left="0" w:firstLine="0"/>
              <w:jc w:val="left"/>
              <w:rPr>
                <w:rFonts w:ascii="Times New Roman" w:hAnsi="Times New Roman"/>
                <w:color w:val="000000" w:themeColor="text1"/>
                <w:sz w:val="24"/>
              </w:rPr>
            </w:pPr>
            <w:r>
              <w:rPr>
                <w:rFonts w:hint="eastAsia" w:ascii="Times New Roman" w:hAnsi="Times New Roman"/>
                <w:color w:val="000000" w:themeColor="text1"/>
                <w:sz w:val="24"/>
              </w:rPr>
              <w:t>白沙一村、白沙二村、后亭村、上浦村、西方村、西吟头村、曾垵村、后埔村、前园村、屿头村、洛阳村、洛安村、万安村、堂头村、下曾村、杏田村、梅岭村、云庄村、陈埭头村、霞星村、陈坝村、群山村、西塘村、上田村、上曾村</w:t>
            </w:r>
          </w:p>
        </w:tc>
        <w:tc>
          <w:tcPr>
            <w:tcW w:w="1358" w:type="dxa"/>
            <w:vAlign w:val="center"/>
          </w:tcPr>
          <w:p>
            <w:pPr>
              <w:spacing w:line="276" w:lineRule="auto"/>
              <w:jc w:val="center"/>
              <w:rPr>
                <w:rFonts w:ascii="Times New Roman" w:hAnsi="Times New Roman"/>
                <w:color w:val="000000" w:themeColor="text1"/>
                <w:sz w:val="24"/>
              </w:rPr>
            </w:pPr>
            <w:r>
              <w:rPr>
                <w:rFonts w:hint="eastAsia" w:ascii="Times New Roman" w:hAnsi="Times New Roman"/>
                <w:color w:val="000000" w:themeColor="text1"/>
                <w:sz w:val="24"/>
              </w:rPr>
              <w:t>25</w:t>
            </w:r>
          </w:p>
        </w:tc>
      </w:tr>
      <w:tr>
        <w:tblPrEx>
          <w:tblBorders>
            <w:top w:val="thinThickSmallGap" w:color="auto" w:sz="18" w:space="0"/>
            <w:left w:val="thinThickSmallGap" w:color="auto" w:sz="18" w:space="0"/>
            <w:bottom w:val="thinThickSmallGap" w:color="auto" w:sz="18" w:space="0"/>
            <w:right w:val="thinThickSmallGap"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trPr>
        <w:tc>
          <w:tcPr>
            <w:tcW w:w="1055" w:type="dxa"/>
            <w:vAlign w:val="center"/>
          </w:tcPr>
          <w:p>
            <w:pPr>
              <w:spacing w:line="276" w:lineRule="auto"/>
              <w:jc w:val="left"/>
              <w:rPr>
                <w:color w:val="000000" w:themeColor="text1"/>
                <w:kern w:val="0"/>
                <w:sz w:val="24"/>
              </w:rPr>
            </w:pPr>
            <w:r>
              <w:rPr>
                <w:rFonts w:hint="eastAsia" w:ascii="宋体" w:hAnsi="宋体" w:cs="宋体"/>
                <w:b/>
                <w:bCs/>
                <w:color w:val="000000" w:themeColor="text1"/>
                <w:kern w:val="0"/>
                <w:sz w:val="22"/>
                <w:szCs w:val="22"/>
              </w:rPr>
              <w:t>东园镇</w:t>
            </w:r>
          </w:p>
        </w:tc>
        <w:tc>
          <w:tcPr>
            <w:tcW w:w="6386" w:type="dxa"/>
            <w:vAlign w:val="center"/>
          </w:tcPr>
          <w:p>
            <w:pPr>
              <w:spacing w:before="0" w:after="0" w:line="276" w:lineRule="auto"/>
              <w:ind w:left="0" w:firstLine="0"/>
              <w:jc w:val="left"/>
              <w:rPr>
                <w:rFonts w:ascii="Times New Roman" w:hAnsi="Times New Roman"/>
                <w:color w:val="000000" w:themeColor="text1"/>
                <w:sz w:val="24"/>
              </w:rPr>
            </w:pPr>
            <w:r>
              <w:rPr>
                <w:rFonts w:hint="eastAsia" w:ascii="Times New Roman" w:hAnsi="Times New Roman"/>
                <w:color w:val="000000" w:themeColor="text1"/>
                <w:sz w:val="24"/>
              </w:rPr>
              <w:t>锦厝村、长新村、溪庄村、玉坂村、龙苍村、凤浦村、上林村、东园村、仑山村、灵溪村、锦峰村、群青村、秀涂村、琅山村、阳光村、后港村、下垵村</w:t>
            </w:r>
          </w:p>
        </w:tc>
        <w:tc>
          <w:tcPr>
            <w:tcW w:w="1358" w:type="dxa"/>
            <w:vAlign w:val="center"/>
          </w:tcPr>
          <w:p>
            <w:pPr>
              <w:spacing w:line="276" w:lineRule="auto"/>
              <w:jc w:val="center"/>
              <w:rPr>
                <w:rFonts w:ascii="Times New Roman" w:hAnsi="Times New Roman"/>
                <w:color w:val="000000" w:themeColor="text1"/>
                <w:sz w:val="24"/>
              </w:rPr>
            </w:pPr>
            <w:r>
              <w:rPr>
                <w:rFonts w:hint="eastAsia" w:ascii="Times New Roman" w:hAnsi="Times New Roman"/>
                <w:color w:val="000000" w:themeColor="text1"/>
                <w:sz w:val="24"/>
              </w:rPr>
              <w:t>17</w:t>
            </w:r>
          </w:p>
        </w:tc>
      </w:tr>
      <w:tr>
        <w:tblPrEx>
          <w:tblBorders>
            <w:top w:val="thinThickSmallGap" w:color="auto" w:sz="18" w:space="0"/>
            <w:left w:val="thinThickSmallGap" w:color="auto" w:sz="18" w:space="0"/>
            <w:bottom w:val="thinThickSmallGap" w:color="auto" w:sz="18" w:space="0"/>
            <w:right w:val="thinThickSmallGap"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091" w:hRule="atLeast"/>
        </w:trPr>
        <w:tc>
          <w:tcPr>
            <w:tcW w:w="1055" w:type="dxa"/>
            <w:vAlign w:val="center"/>
          </w:tcPr>
          <w:p>
            <w:pPr>
              <w:spacing w:line="276" w:lineRule="auto"/>
              <w:jc w:val="left"/>
              <w:rPr>
                <w:color w:val="000000" w:themeColor="text1"/>
                <w:kern w:val="0"/>
                <w:sz w:val="24"/>
              </w:rPr>
            </w:pPr>
            <w:r>
              <w:rPr>
                <w:rFonts w:hint="eastAsia" w:ascii="宋体" w:hAnsi="宋体" w:cs="宋体"/>
                <w:b/>
                <w:bCs/>
                <w:color w:val="000000" w:themeColor="text1"/>
                <w:kern w:val="0"/>
                <w:sz w:val="22"/>
                <w:szCs w:val="22"/>
              </w:rPr>
              <w:t>张坂镇</w:t>
            </w:r>
          </w:p>
        </w:tc>
        <w:tc>
          <w:tcPr>
            <w:tcW w:w="6386" w:type="dxa"/>
            <w:vAlign w:val="center"/>
          </w:tcPr>
          <w:p>
            <w:pPr>
              <w:spacing w:before="0" w:after="0" w:line="276" w:lineRule="auto"/>
              <w:ind w:left="0" w:firstLine="0"/>
              <w:jc w:val="left"/>
              <w:rPr>
                <w:rFonts w:ascii="Times New Roman" w:hAnsi="Times New Roman"/>
                <w:color w:val="000000" w:themeColor="text1"/>
                <w:sz w:val="24"/>
              </w:rPr>
            </w:pPr>
            <w:r>
              <w:rPr>
                <w:rFonts w:hint="eastAsia" w:ascii="Times New Roman" w:hAnsi="Times New Roman"/>
                <w:color w:val="000000" w:themeColor="text1"/>
                <w:sz w:val="24"/>
              </w:rPr>
              <w:t>松山村、塘园村、玉塘村、玉园村、玉田村、群力村、霞美村、下宫村、张坂村、上塘村、后边村、苍霞村、门头村、上仑村、后蔡村、苏坑村、后曾村、山内村、莲新村、浮山村、前见村、前头村、玉山村、玉霞村、玉前村、后见村、黄岭村、群贤村、玉埕村、崇山村、仑前村</w:t>
            </w:r>
          </w:p>
        </w:tc>
        <w:tc>
          <w:tcPr>
            <w:tcW w:w="1358" w:type="dxa"/>
            <w:vAlign w:val="center"/>
          </w:tcPr>
          <w:p>
            <w:pPr>
              <w:spacing w:line="276" w:lineRule="auto"/>
              <w:jc w:val="center"/>
              <w:rPr>
                <w:rFonts w:ascii="Times New Roman" w:hAnsi="Times New Roman"/>
                <w:color w:val="000000" w:themeColor="text1"/>
                <w:sz w:val="24"/>
              </w:rPr>
            </w:pPr>
            <w:r>
              <w:rPr>
                <w:rFonts w:hint="eastAsia" w:ascii="Times New Roman" w:hAnsi="Times New Roman"/>
                <w:color w:val="000000" w:themeColor="text1"/>
                <w:sz w:val="24"/>
              </w:rPr>
              <w:t>31</w:t>
            </w:r>
          </w:p>
        </w:tc>
      </w:tr>
      <w:tr>
        <w:tblPrEx>
          <w:tblBorders>
            <w:top w:val="thinThickSmallGap" w:color="auto" w:sz="18" w:space="0"/>
            <w:left w:val="thinThickSmallGap" w:color="auto" w:sz="18" w:space="0"/>
            <w:bottom w:val="thinThickSmallGap" w:color="auto" w:sz="18" w:space="0"/>
            <w:right w:val="thinThickSmallGap"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019" w:hRule="atLeast"/>
        </w:trPr>
        <w:tc>
          <w:tcPr>
            <w:tcW w:w="1055" w:type="dxa"/>
            <w:vAlign w:val="center"/>
          </w:tcPr>
          <w:p>
            <w:pPr>
              <w:spacing w:line="276" w:lineRule="auto"/>
              <w:ind w:left="607" w:hanging="607" w:hangingChars="275"/>
              <w:jc w:val="center"/>
              <w:rPr>
                <w:rFonts w:ascii="宋体" w:hAnsi="宋体" w:cs="宋体"/>
                <w:b/>
                <w:bCs/>
                <w:color w:val="000000" w:themeColor="text1"/>
                <w:kern w:val="0"/>
                <w:sz w:val="22"/>
                <w:szCs w:val="22"/>
              </w:rPr>
            </w:pPr>
            <w:r>
              <w:rPr>
                <w:rFonts w:hint="eastAsia" w:ascii="宋体" w:hAnsi="宋体" w:cs="宋体"/>
                <w:b/>
                <w:bCs/>
                <w:color w:val="000000" w:themeColor="text1"/>
                <w:kern w:val="0"/>
                <w:sz w:val="22"/>
                <w:szCs w:val="22"/>
              </w:rPr>
              <w:t>百崎回</w:t>
            </w:r>
          </w:p>
          <w:p>
            <w:pPr>
              <w:spacing w:line="276" w:lineRule="auto"/>
              <w:ind w:left="607" w:hanging="607" w:hangingChars="275"/>
              <w:jc w:val="center"/>
              <w:rPr>
                <w:color w:val="000000" w:themeColor="text1"/>
                <w:kern w:val="0"/>
                <w:sz w:val="24"/>
              </w:rPr>
            </w:pPr>
            <w:r>
              <w:rPr>
                <w:rFonts w:hint="eastAsia" w:ascii="宋体" w:hAnsi="宋体" w:cs="宋体"/>
                <w:b/>
                <w:bCs/>
                <w:color w:val="000000" w:themeColor="text1"/>
                <w:kern w:val="0"/>
                <w:sz w:val="22"/>
                <w:szCs w:val="22"/>
              </w:rPr>
              <w:t>族乡</w:t>
            </w:r>
          </w:p>
        </w:tc>
        <w:tc>
          <w:tcPr>
            <w:tcW w:w="6386" w:type="dxa"/>
            <w:vAlign w:val="center"/>
          </w:tcPr>
          <w:p>
            <w:pPr>
              <w:spacing w:before="0" w:after="0" w:line="276" w:lineRule="auto"/>
              <w:ind w:left="0" w:firstLine="0"/>
              <w:jc w:val="left"/>
              <w:rPr>
                <w:rFonts w:ascii="Times New Roman" w:hAnsi="Times New Roman"/>
                <w:color w:val="000000" w:themeColor="text1"/>
                <w:sz w:val="24"/>
              </w:rPr>
            </w:pPr>
            <w:r>
              <w:rPr>
                <w:rFonts w:hint="eastAsia" w:ascii="Times New Roman" w:hAnsi="Times New Roman"/>
                <w:color w:val="000000" w:themeColor="text1"/>
                <w:sz w:val="24"/>
              </w:rPr>
              <w:t>白奇村、里春村、莲埭村、后海村、下埭村</w:t>
            </w:r>
          </w:p>
        </w:tc>
        <w:tc>
          <w:tcPr>
            <w:tcW w:w="1358" w:type="dxa"/>
            <w:vAlign w:val="center"/>
          </w:tcPr>
          <w:p>
            <w:pPr>
              <w:spacing w:line="276" w:lineRule="auto"/>
              <w:jc w:val="center"/>
              <w:rPr>
                <w:rFonts w:ascii="Times New Roman" w:hAnsi="Times New Roman"/>
                <w:color w:val="000000" w:themeColor="text1"/>
                <w:sz w:val="24"/>
              </w:rPr>
            </w:pPr>
            <w:r>
              <w:rPr>
                <w:rFonts w:hint="eastAsia" w:ascii="Times New Roman" w:hAnsi="Times New Roman"/>
                <w:color w:val="000000" w:themeColor="text1"/>
                <w:sz w:val="24"/>
              </w:rPr>
              <w:t>5</w:t>
            </w:r>
          </w:p>
        </w:tc>
      </w:tr>
      <w:tr>
        <w:tblPrEx>
          <w:tblBorders>
            <w:top w:val="thinThickSmallGap" w:color="auto" w:sz="18" w:space="0"/>
            <w:left w:val="thinThickSmallGap" w:color="auto" w:sz="18" w:space="0"/>
            <w:bottom w:val="thinThickSmallGap" w:color="auto" w:sz="18" w:space="0"/>
            <w:right w:val="thinThickSmallGap"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7441" w:type="dxa"/>
            <w:gridSpan w:val="2"/>
            <w:vAlign w:val="center"/>
          </w:tcPr>
          <w:p>
            <w:pPr>
              <w:spacing w:before="0" w:after="0" w:line="276" w:lineRule="auto"/>
              <w:ind w:left="0" w:firstLine="0"/>
              <w:jc w:val="center"/>
              <w:rPr>
                <w:rFonts w:ascii="Times New Roman" w:hAnsi="Times New Roman"/>
                <w:color w:val="000000" w:themeColor="text1"/>
                <w:sz w:val="24"/>
              </w:rPr>
            </w:pPr>
            <w:r>
              <w:rPr>
                <w:rFonts w:ascii="Times New Roman" w:hAnsi="Times New Roman"/>
                <w:color w:val="000000" w:themeColor="text1"/>
                <w:sz w:val="24"/>
              </w:rPr>
              <w:t>合计</w:t>
            </w:r>
          </w:p>
        </w:tc>
        <w:tc>
          <w:tcPr>
            <w:tcW w:w="1358" w:type="dxa"/>
            <w:vAlign w:val="center"/>
          </w:tcPr>
          <w:p>
            <w:pPr>
              <w:spacing w:before="0" w:after="0" w:line="276" w:lineRule="auto"/>
              <w:ind w:left="0" w:firstLine="0"/>
              <w:jc w:val="center"/>
              <w:rPr>
                <w:rFonts w:ascii="Times New Roman" w:hAnsi="Times New Roman"/>
                <w:color w:val="000000" w:themeColor="text1"/>
                <w:sz w:val="24"/>
              </w:rPr>
            </w:pPr>
            <w:r>
              <w:rPr>
                <w:rFonts w:hint="eastAsia" w:ascii="Times New Roman" w:hAnsi="Times New Roman"/>
                <w:color w:val="000000" w:themeColor="text1"/>
                <w:sz w:val="24"/>
              </w:rPr>
              <w:t>7</w:t>
            </w:r>
            <w:r>
              <w:rPr>
                <w:rFonts w:ascii="Times New Roman" w:hAnsi="Times New Roman"/>
                <w:color w:val="000000" w:themeColor="text1"/>
                <w:sz w:val="24"/>
              </w:rPr>
              <w:t>8</w:t>
            </w:r>
          </w:p>
        </w:tc>
      </w:tr>
    </w:tbl>
    <w:p>
      <w:pPr>
        <w:pStyle w:val="4"/>
        <w:widowControl/>
        <w:spacing w:before="240" w:after="60" w:line="240" w:lineRule="auto"/>
        <w:ind w:left="720" w:hanging="720"/>
        <w:jc w:val="left"/>
        <w:rPr>
          <w:rFonts w:eastAsia="黑体"/>
          <w:bCs/>
          <w:color w:val="000000" w:themeColor="text1"/>
          <w:sz w:val="30"/>
          <w:szCs w:val="30"/>
          <w:lang w:bidi="en-US"/>
        </w:rPr>
      </w:pPr>
      <w:r>
        <w:rPr>
          <w:rFonts w:hint="eastAsia" w:eastAsia="黑体"/>
          <w:bCs/>
          <w:color w:val="000000" w:themeColor="text1"/>
          <w:sz w:val="30"/>
          <w:szCs w:val="30"/>
          <w:lang w:bidi="en-US"/>
        </w:rPr>
        <w:t>1.4.2 规划内容</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本规划的主要内容如下：</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w:t>
      </w:r>
      <w:r>
        <w:rPr>
          <w:color w:val="000000" w:themeColor="text1"/>
          <w:kern w:val="0"/>
          <w:sz w:val="28"/>
        </w:rPr>
        <w:t>泉州台商投资区</w:t>
      </w:r>
      <w:r>
        <w:rPr>
          <w:rFonts w:hint="eastAsia"/>
          <w:color w:val="000000" w:themeColor="text1"/>
          <w:kern w:val="0"/>
          <w:sz w:val="28"/>
        </w:rPr>
        <w:t>农村物流现状和问题分析</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包括</w:t>
      </w:r>
      <w:r>
        <w:rPr>
          <w:color w:val="000000" w:themeColor="text1"/>
          <w:kern w:val="0"/>
          <w:sz w:val="28"/>
        </w:rPr>
        <w:t>泉州台商投资区社会经济发展状况、</w:t>
      </w:r>
      <w:r>
        <w:rPr>
          <w:rFonts w:hint="eastAsia"/>
          <w:color w:val="000000" w:themeColor="text1"/>
          <w:kern w:val="0"/>
          <w:sz w:val="28"/>
        </w:rPr>
        <w:t>农村物流</w:t>
      </w:r>
      <w:r>
        <w:rPr>
          <w:color w:val="000000" w:themeColor="text1"/>
          <w:kern w:val="0"/>
          <w:sz w:val="28"/>
        </w:rPr>
        <w:t>现状的概述、规划总体意义、范围、时限等的介绍，分析泉州台商投资区</w:t>
      </w:r>
      <w:r>
        <w:rPr>
          <w:rFonts w:hint="eastAsia"/>
          <w:color w:val="000000" w:themeColor="text1"/>
          <w:kern w:val="0"/>
          <w:sz w:val="28"/>
        </w:rPr>
        <w:t>农村物流</w:t>
      </w:r>
      <w:r>
        <w:rPr>
          <w:color w:val="000000" w:themeColor="text1"/>
          <w:kern w:val="0"/>
          <w:sz w:val="28"/>
        </w:rPr>
        <w:t>特征，分析目前</w:t>
      </w:r>
      <w:r>
        <w:rPr>
          <w:rFonts w:hint="eastAsia"/>
          <w:color w:val="000000" w:themeColor="text1"/>
          <w:kern w:val="0"/>
          <w:sz w:val="28"/>
        </w:rPr>
        <w:t>农村物流</w:t>
      </w:r>
      <w:r>
        <w:rPr>
          <w:color w:val="000000" w:themeColor="text1"/>
          <w:kern w:val="0"/>
          <w:sz w:val="28"/>
        </w:rPr>
        <w:t>存在的问题。</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w:t>
      </w:r>
      <w:r>
        <w:rPr>
          <w:color w:val="000000" w:themeColor="text1"/>
          <w:kern w:val="0"/>
          <w:sz w:val="28"/>
        </w:rPr>
        <w:t>泉州台商投资区</w:t>
      </w:r>
      <w:r>
        <w:rPr>
          <w:rFonts w:hint="eastAsia"/>
          <w:color w:val="000000" w:themeColor="text1"/>
          <w:kern w:val="0"/>
          <w:sz w:val="28"/>
        </w:rPr>
        <w:t>农村物流网络体系发展目标与需求预测</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包括</w:t>
      </w:r>
      <w:r>
        <w:rPr>
          <w:rFonts w:hint="eastAsia"/>
          <w:color w:val="000000" w:themeColor="text1"/>
          <w:kern w:val="0"/>
          <w:sz w:val="28"/>
        </w:rPr>
        <w:t>发展目标、指导思想和基本原则、</w:t>
      </w:r>
      <w:r>
        <w:rPr>
          <w:color w:val="000000" w:themeColor="text1"/>
          <w:kern w:val="0"/>
          <w:sz w:val="28"/>
        </w:rPr>
        <w:t>社会经济发展预测、</w:t>
      </w:r>
      <w:r>
        <w:rPr>
          <w:rFonts w:hint="eastAsia"/>
          <w:color w:val="000000" w:themeColor="text1"/>
          <w:kern w:val="0"/>
          <w:sz w:val="28"/>
        </w:rPr>
        <w:t>全区农村物流量</w:t>
      </w:r>
      <w:r>
        <w:rPr>
          <w:color w:val="000000" w:themeColor="text1"/>
          <w:kern w:val="0"/>
          <w:sz w:val="28"/>
        </w:rPr>
        <w:t>预测、</w:t>
      </w:r>
      <w:r>
        <w:rPr>
          <w:rFonts w:hint="eastAsia"/>
          <w:color w:val="000000" w:themeColor="text1"/>
          <w:kern w:val="0"/>
          <w:sz w:val="28"/>
        </w:rPr>
        <w:t>乡镇农村物流量</w:t>
      </w:r>
      <w:r>
        <w:rPr>
          <w:color w:val="000000" w:themeColor="text1"/>
          <w:kern w:val="0"/>
          <w:sz w:val="28"/>
        </w:rPr>
        <w:t>预测和</w:t>
      </w:r>
      <w:r>
        <w:rPr>
          <w:rFonts w:hint="eastAsia"/>
          <w:color w:val="000000" w:themeColor="text1"/>
          <w:kern w:val="0"/>
          <w:sz w:val="28"/>
        </w:rPr>
        <w:t>各农村物流量</w:t>
      </w:r>
      <w:r>
        <w:rPr>
          <w:color w:val="000000" w:themeColor="text1"/>
          <w:kern w:val="0"/>
          <w:sz w:val="28"/>
        </w:rPr>
        <w:t>预测。</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w:t>
      </w:r>
      <w:r>
        <w:rPr>
          <w:color w:val="000000" w:themeColor="text1"/>
          <w:kern w:val="0"/>
          <w:sz w:val="28"/>
        </w:rPr>
        <w:t>泉州台商投资区</w:t>
      </w:r>
      <w:r>
        <w:rPr>
          <w:rFonts w:hint="eastAsia"/>
          <w:color w:val="000000" w:themeColor="text1"/>
          <w:kern w:val="0"/>
          <w:sz w:val="28"/>
        </w:rPr>
        <w:t>农村物流网络体系规划方案</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包括农村物流网络节点规划、 配送网络线路设计、农村物流信息平台规划、农村电商平台规划、网点设施设备配备和</w:t>
      </w:r>
      <w:r>
        <w:rPr>
          <w:color w:val="000000" w:themeColor="text1"/>
          <w:kern w:val="0"/>
          <w:sz w:val="28"/>
        </w:rPr>
        <w:t>泉州台商投资区</w:t>
      </w:r>
      <w:r>
        <w:rPr>
          <w:rFonts w:hint="eastAsia"/>
          <w:color w:val="000000" w:themeColor="text1"/>
          <w:kern w:val="0"/>
          <w:sz w:val="28"/>
        </w:rPr>
        <w:t>农村物流网络规划整体布局。</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（4）对泉州台商投资区农村物流网络体系规划进行评价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包括现状评价、近期规划方案评价、中远期规划方案评价。</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（5）</w:t>
      </w:r>
      <w:r>
        <w:rPr>
          <w:color w:val="000000" w:themeColor="text1"/>
          <w:kern w:val="0"/>
          <w:sz w:val="28"/>
        </w:rPr>
        <w:t>研究泉州台商投资区</w:t>
      </w:r>
      <w:r>
        <w:rPr>
          <w:rFonts w:hint="eastAsia"/>
          <w:color w:val="000000" w:themeColor="text1"/>
          <w:kern w:val="0"/>
          <w:sz w:val="28"/>
        </w:rPr>
        <w:t>农村物流运营管理模式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通过比较目前农村物流运营的几种管理模式，推出合适的管理模式、同时推出农村物流的安全运营要求、运营服务要求、品牌建设要求。</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（6）研究</w:t>
      </w:r>
      <w:r>
        <w:rPr>
          <w:color w:val="000000" w:themeColor="text1"/>
          <w:kern w:val="0"/>
          <w:sz w:val="28"/>
        </w:rPr>
        <w:t>泉州台商投资区</w:t>
      </w:r>
      <w:r>
        <w:rPr>
          <w:rFonts w:hint="eastAsia"/>
          <w:color w:val="000000" w:themeColor="text1"/>
          <w:kern w:val="0"/>
          <w:sz w:val="28"/>
        </w:rPr>
        <w:t>农村物流网络体系建设的保障措施</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包括政策保障、资金保障、</w:t>
      </w:r>
      <w:r>
        <w:rPr>
          <w:rFonts w:hint="eastAsia" w:ascii="宋体" w:hAnsi="宋体" w:cs="宋体"/>
          <w:color w:val="000000" w:themeColor="text1"/>
          <w:sz w:val="28"/>
          <w:szCs w:val="28"/>
        </w:rPr>
        <w:t>人才保障、体制保障、技术保障</w:t>
      </w:r>
      <w:r>
        <w:rPr>
          <w:rFonts w:hint="eastAsia"/>
          <w:color w:val="000000" w:themeColor="text1"/>
          <w:kern w:val="0"/>
          <w:sz w:val="28"/>
        </w:rPr>
        <w:t>。</w:t>
      </w:r>
    </w:p>
    <w:p>
      <w:pPr>
        <w:pStyle w:val="3"/>
        <w:jc w:val="left"/>
        <w:rPr>
          <w:rFonts w:ascii="Times New Roman" w:hAnsi="Times New Roman"/>
          <w:color w:val="000000" w:themeColor="text1"/>
        </w:rPr>
      </w:pPr>
      <w:bookmarkStart w:id="8" w:name="_Toc528526447"/>
      <w:r>
        <w:rPr>
          <w:rFonts w:hint="eastAsia" w:ascii="Times New Roman" w:hAnsi="Times New Roman"/>
          <w:color w:val="000000" w:themeColor="text1"/>
        </w:rPr>
        <w:t>1.5规划意义</w:t>
      </w:r>
      <w:bookmarkEnd w:id="8"/>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本规划通过整合台商投资区快递、零担、农村客运、供销、电商及相关物流资源，从而建立区、乡、村三级物流体系，打通“工业品下乡，农产品进城”双向流通渠道，破解“最后一公里”难题，提升泉州台商投资区农村物流服务水平。</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（1）整合物流资源，降低物流成本</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本规划将整合各家快递、零担资源，实现快递下乡时统一配送，从而节省运力，便于规范化管理。一方面，解决各家快递及零担企业配送至乡镇村时由于货量少造成的物流成本上升问题，并且可以减少乡镇物流网点的运力投入，是企业有更多精力专注物流增值服务，提高客户满意度；另一方面，快递、零担企业退城入园，便于政府进行统一管理，从而规范物流公司的经营行为，维护市场秩序，而且可以规范行业税收管理，降低物流业的税收成本，减轻物流业的税收负担，增强物流业的竞争力。</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（2）整合车辆资源，减少环境污染</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本规划通过整合运输车辆资源、搭建物流信息平台，实现对货物集散分拨配送的统一调度、合理配载，进一步提高货车装载率，减少配载车辆迂回交通，提高运输效率，节约能源，减少环境污染。</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（3）打通城乡物流渠道，提高配送时效</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本规划通过建设泉州台商投资区区、乡、村三级物流体系，形成各乡镇、行政村点、线、面的全覆盖，打通“工业品下乡，农产品进城”双向流通渠道，使快递下乡当日便可到村、到户，农产品当日可至区级物流服务中心，从而保证物流的时效。</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（4）促进农村电商发展，增加上行货运量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本规划通过农村电商培育、电商人才培训以完善农村电商服务体系，促进农村电商发展，并通过一系列的生态体系建设，品质控制、溯源技术应用、品牌打造、包装设计提升等方面，促进农产品上行，增加农村上行货运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（5）塑造新型农民，掀起创业热潮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本规划通过培育农村电商人才，营造“人人皆学、时时能学、处处可学”的良好环境，塑造新型农民，即培养具有较高文化素质、文明修养和职业技能的新型农民，塑造新时期的新农民形象；同时通过农村电商的发展，解决农业生产与市场信息不对称的问题、技术问题和配送上的问题，让新型农民与时代同步，掀起农村创业热潮，提高农民生活水平。</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（6）盘活闲置资源，提高经济效益</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本规划将利用区、镇、村部分闲置土地资源，打造乡镇村物流节点，并整合企业及社会运力资源，形成区乡村全覆盖的三级物流服务网络。一方面，通过区、镇、村的土地再利用，实现土地的增值收益；另一方面，通过企业和社会运力资源的整合，实现车辆的充分利用，减少车辆使用成本，提高经济效益。</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 </w:t>
      </w:r>
    </w:p>
    <w:p>
      <w:pPr>
        <w:widowControl/>
        <w:rPr>
          <w:color w:val="000000" w:themeColor="text1"/>
          <w:kern w:val="0"/>
          <w:sz w:val="28"/>
        </w:rPr>
      </w:pPr>
      <w:r>
        <w:rPr>
          <w:color w:val="000000" w:themeColor="text1"/>
          <w:kern w:val="0"/>
          <w:sz w:val="28"/>
        </w:rPr>
        <w:br w:type="page"/>
      </w:r>
    </w:p>
    <w:p>
      <w:pPr>
        <w:pStyle w:val="2"/>
        <w:numPr>
          <w:ilvl w:val="0"/>
          <w:numId w:val="2"/>
        </w:numPr>
        <w:spacing w:beforeLines="0"/>
        <w:ind w:left="0" w:firstLine="0"/>
        <w:rPr>
          <w:rFonts w:ascii="黑体" w:hAnsi="黑体"/>
          <w:b w:val="0"/>
          <w:bCs w:val="0"/>
          <w:color w:val="000000" w:themeColor="text1"/>
        </w:rPr>
      </w:pPr>
      <w:bookmarkStart w:id="9" w:name="_Toc528526448"/>
      <w:r>
        <w:rPr>
          <w:rFonts w:hint="eastAsia" w:ascii="黑体" w:hAnsi="黑体"/>
          <w:b w:val="0"/>
          <w:color w:val="000000" w:themeColor="text1"/>
          <w:sz w:val="44"/>
        </w:rPr>
        <w:t>泉州台商投资区农村物流现状和问题分析</w:t>
      </w:r>
      <w:bookmarkEnd w:id="9"/>
    </w:p>
    <w:p>
      <w:pPr>
        <w:pStyle w:val="3"/>
        <w:jc w:val="left"/>
        <w:rPr>
          <w:rFonts w:ascii="Times New Roman" w:hAnsi="Times New Roman"/>
          <w:color w:val="000000" w:themeColor="text1"/>
        </w:rPr>
      </w:pPr>
      <w:bookmarkStart w:id="10" w:name="_Toc528526449"/>
      <w:r>
        <w:rPr>
          <w:rFonts w:hint="eastAsia" w:ascii="Times New Roman" w:hAnsi="Times New Roman"/>
          <w:color w:val="000000" w:themeColor="text1"/>
        </w:rPr>
        <w:t>2.1发展现状</w:t>
      </w:r>
      <w:bookmarkEnd w:id="10"/>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泉州台商投资区与泉州市新行政中心隔海相望，投资区依山、面海、环湖、沿江，区位优势明显，属泉州中心城区“一湾两翼三带”城市空间布局中的环泉州湾区域，功能定位为生态型滨水城市新区和现代化港口保税物流园区，玖龙纸业、</w:t>
      </w:r>
      <w:r>
        <w:rPr>
          <w:rFonts w:hint="eastAsia"/>
          <w:color w:val="FF0000"/>
          <w:kern w:val="0"/>
          <w:sz w:val="28"/>
        </w:rPr>
        <w:t>中国</w:t>
      </w:r>
      <w:r>
        <w:rPr>
          <w:rFonts w:hint="eastAsia"/>
          <w:color w:val="FF0000"/>
          <w:kern w:val="0"/>
          <w:sz w:val="28"/>
          <w:lang w:val="en-US" w:eastAsia="zh-CN"/>
        </w:rPr>
        <w:t>中车集团</w:t>
      </w:r>
      <w:r>
        <w:rPr>
          <w:rFonts w:hint="eastAsia"/>
          <w:color w:val="FF0000"/>
          <w:kern w:val="0"/>
          <w:sz w:val="28"/>
        </w:rPr>
        <w:t>、</w:t>
      </w:r>
      <w:r>
        <w:rPr>
          <w:rFonts w:hint="eastAsia"/>
          <w:color w:val="FF0000"/>
          <w:kern w:val="0"/>
          <w:sz w:val="28"/>
          <w:lang w:val="en-US" w:eastAsia="zh-CN"/>
        </w:rPr>
        <w:t>八仙过海文旅</w:t>
      </w:r>
      <w:r>
        <w:rPr>
          <w:rFonts w:hint="eastAsia"/>
          <w:color w:val="000000" w:themeColor="text1"/>
          <w:kern w:val="0"/>
          <w:sz w:val="28"/>
        </w:rPr>
        <w:t>等行业巨头落户区内，新区基础设施建设全面铺开，新区品牌效应持续升温，产业规模不断发展壮大，逐步朝着经济繁荣、社会和谐、文化多元、环境优美的生态型滨水新城区方向迈进。</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管辖面积约200平方公里，东与惠安县接壤，西至洛阳江，与泉州市丰泽区、洛江区隔江相望，南临泉州湾海域，北接黄塘镇，西北毗连洛江区。拥有24公里的海岸线，沿着洛阳江的岸线有21.8公里，区内的百崎湖沿岸有22公里。</w:t>
      </w:r>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2.1.1</w:t>
      </w:r>
      <w:r>
        <w:rPr>
          <w:rFonts w:eastAsia="黑体"/>
          <w:bCs/>
          <w:color w:val="000000" w:themeColor="text1"/>
          <w:sz w:val="30"/>
          <w:szCs w:val="30"/>
          <w:lang w:bidi="en-US"/>
        </w:rPr>
        <w:t>行政区划</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泉州台商投资区</w:t>
      </w:r>
      <w:r>
        <w:rPr>
          <w:color w:val="000000" w:themeColor="text1"/>
          <w:kern w:val="0"/>
          <w:sz w:val="28"/>
        </w:rPr>
        <w:t>辖</w:t>
      </w:r>
      <w:r>
        <w:rPr>
          <w:rFonts w:hint="eastAsia"/>
          <w:color w:val="000000" w:themeColor="text1"/>
          <w:kern w:val="0"/>
          <w:sz w:val="28"/>
        </w:rPr>
        <w:t>3</w:t>
      </w:r>
      <w:r>
        <w:rPr>
          <w:color w:val="000000" w:themeColor="text1"/>
          <w:kern w:val="0"/>
          <w:sz w:val="28"/>
        </w:rPr>
        <w:t>个镇</w:t>
      </w:r>
      <w:r>
        <w:rPr>
          <w:rFonts w:hint="eastAsia"/>
          <w:color w:val="000000" w:themeColor="text1"/>
          <w:kern w:val="0"/>
          <w:sz w:val="28"/>
        </w:rPr>
        <w:t>和</w:t>
      </w:r>
      <w:r>
        <w:rPr>
          <w:color w:val="000000" w:themeColor="text1"/>
          <w:kern w:val="0"/>
          <w:sz w:val="28"/>
        </w:rPr>
        <w:t>1个民族乡</w:t>
      </w:r>
      <w:r>
        <w:rPr>
          <w:rFonts w:hint="eastAsia"/>
          <w:color w:val="000000" w:themeColor="text1"/>
          <w:kern w:val="0"/>
          <w:sz w:val="28"/>
        </w:rPr>
        <w:t>，分别为：</w:t>
      </w:r>
      <w:r>
        <w:rPr>
          <w:color w:val="000000" w:themeColor="text1"/>
          <w:kern w:val="0"/>
          <w:sz w:val="28"/>
        </w:rPr>
        <w:t>洛阳镇、东园镇、张坂镇</w:t>
      </w:r>
      <w:r>
        <w:rPr>
          <w:rFonts w:hint="eastAsia"/>
          <w:color w:val="000000" w:themeColor="text1"/>
          <w:kern w:val="0"/>
          <w:sz w:val="28"/>
        </w:rPr>
        <w:t>和百崎回族乡。</w:t>
      </w:r>
    </w:p>
    <w:p>
      <w:pPr>
        <w:pStyle w:val="4"/>
        <w:widowControl/>
        <w:spacing w:before="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2.1.2</w:t>
      </w:r>
      <w:r>
        <w:rPr>
          <w:rFonts w:eastAsia="黑体"/>
          <w:bCs/>
          <w:color w:val="000000" w:themeColor="text1"/>
          <w:sz w:val="30"/>
          <w:szCs w:val="30"/>
          <w:lang w:bidi="en-US"/>
        </w:rPr>
        <w:t>人口发展水平</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截至201</w:t>
      </w:r>
      <w:r>
        <w:rPr>
          <w:rFonts w:hint="eastAsia"/>
          <w:color w:val="000000" w:themeColor="text1"/>
          <w:kern w:val="0"/>
          <w:sz w:val="28"/>
        </w:rPr>
        <w:t>7</w:t>
      </w:r>
      <w:r>
        <w:rPr>
          <w:color w:val="000000" w:themeColor="text1"/>
          <w:kern w:val="0"/>
          <w:sz w:val="28"/>
        </w:rPr>
        <w:t>年底，</w:t>
      </w:r>
      <w:r>
        <w:rPr>
          <w:rFonts w:hint="eastAsia"/>
          <w:color w:val="000000" w:themeColor="text1"/>
          <w:kern w:val="0"/>
          <w:sz w:val="28"/>
        </w:rPr>
        <w:t>泉州台商投资区常住人口为25.6</w:t>
      </w:r>
      <w:r>
        <w:rPr>
          <w:color w:val="000000" w:themeColor="text1"/>
          <w:kern w:val="0"/>
          <w:sz w:val="28"/>
        </w:rPr>
        <w:t>万人，根据历年</w:t>
      </w:r>
      <w:r>
        <w:rPr>
          <w:rFonts w:hint="eastAsia"/>
          <w:color w:val="000000" w:themeColor="text1"/>
          <w:kern w:val="0"/>
          <w:sz w:val="28"/>
        </w:rPr>
        <w:t>泉州市</w:t>
      </w:r>
      <w:r>
        <w:rPr>
          <w:color w:val="000000" w:themeColor="text1"/>
          <w:kern w:val="0"/>
          <w:sz w:val="28"/>
        </w:rPr>
        <w:t>统计年鉴，从2011年至201</w:t>
      </w:r>
      <w:r>
        <w:rPr>
          <w:rFonts w:hint="eastAsia"/>
          <w:color w:val="000000" w:themeColor="text1"/>
          <w:kern w:val="0"/>
          <w:sz w:val="28"/>
        </w:rPr>
        <w:t>7</w:t>
      </w:r>
      <w:r>
        <w:rPr>
          <w:color w:val="000000" w:themeColor="text1"/>
          <w:kern w:val="0"/>
          <w:sz w:val="28"/>
        </w:rPr>
        <w:t>年间，</w:t>
      </w:r>
      <w:r>
        <w:rPr>
          <w:rFonts w:hint="eastAsia"/>
          <w:color w:val="000000" w:themeColor="text1"/>
          <w:kern w:val="0"/>
          <w:sz w:val="28"/>
        </w:rPr>
        <w:t>泉州台商投资区常住</w:t>
      </w:r>
      <w:r>
        <w:rPr>
          <w:color w:val="000000" w:themeColor="text1"/>
          <w:kern w:val="0"/>
          <w:sz w:val="28"/>
        </w:rPr>
        <w:t>人口稳步增长，</w:t>
      </w:r>
      <w:r>
        <w:rPr>
          <w:rFonts w:hint="eastAsia"/>
          <w:color w:val="000000" w:themeColor="text1"/>
          <w:kern w:val="0"/>
          <w:sz w:val="28"/>
        </w:rPr>
        <w:t>泉州台商投资区</w:t>
      </w:r>
      <w:r>
        <w:rPr>
          <w:color w:val="000000" w:themeColor="text1"/>
          <w:kern w:val="0"/>
          <w:sz w:val="28"/>
        </w:rPr>
        <w:t>人口发展情况及增长趋势如</w:t>
      </w:r>
      <w:r>
        <w:rPr>
          <w:rFonts w:hint="eastAsia"/>
          <w:color w:val="000000" w:themeColor="text1"/>
          <w:kern w:val="0"/>
          <w:sz w:val="28"/>
        </w:rPr>
        <w:t>图2-1</w:t>
      </w:r>
      <w:r>
        <w:rPr>
          <w:color w:val="000000" w:themeColor="text1"/>
          <w:kern w:val="0"/>
          <w:sz w:val="28"/>
        </w:rPr>
        <w:t>所示。</w:t>
      </w:r>
    </w:p>
    <w:p>
      <w:pPr>
        <w:spacing w:before="156" w:beforeLines="50" w:after="156" w:afterLines="50" w:line="360" w:lineRule="auto"/>
        <w:jc w:val="center"/>
        <w:rPr>
          <w:color w:val="000000" w:themeColor="text1"/>
          <w:kern w:val="11"/>
        </w:rPr>
      </w:pPr>
      <w:r>
        <w:rPr>
          <w:color w:val="000000" w:themeColor="text1"/>
        </w:rPr>
        <w:drawing>
          <wp:inline distT="0" distB="0" distL="0" distR="0">
            <wp:extent cx="4572000" cy="2743200"/>
            <wp:effectExtent l="0" t="0" r="19050" b="1905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7"/>
        <w:ind w:firstLine="482"/>
        <w:rPr>
          <w:rFonts w:ascii="Times New Roman" w:hAnsi="Times New Roman" w:eastAsia="宋体"/>
          <w:color w:val="000000" w:themeColor="text1"/>
        </w:rPr>
      </w:pPr>
      <w:bookmarkStart w:id="11" w:name="_Toc432799169"/>
      <w:bookmarkStart w:id="12" w:name="_Toc470272628"/>
      <w:r>
        <w:rPr>
          <w:rStyle w:val="29"/>
          <w:rFonts w:ascii="Times New Roman" w:hAnsi="Times New Roman" w:eastAsia="宋体"/>
          <w:b/>
          <w:bCs/>
          <w:color w:val="000000" w:themeColor="text1"/>
          <w:sz w:val="24"/>
        </w:rPr>
        <w:t>图</w:t>
      </w:r>
      <w:r>
        <w:rPr>
          <w:rFonts w:ascii="Times New Roman" w:hAnsi="Times New Roman" w:eastAsia="宋体"/>
          <w:b/>
          <w:bCs/>
          <w:color w:val="000000" w:themeColor="text1"/>
          <w:sz w:val="24"/>
          <w:szCs w:val="18"/>
        </w:rPr>
        <w:fldChar w:fldCharType="begin"/>
      </w:r>
      <w:r>
        <w:rPr>
          <w:rStyle w:val="29"/>
          <w:rFonts w:ascii="Times New Roman" w:hAnsi="Times New Roman" w:eastAsia="宋体"/>
          <w:b/>
          <w:bCs/>
          <w:color w:val="000000" w:themeColor="text1"/>
          <w:sz w:val="24"/>
        </w:rPr>
        <w:instrText xml:space="preserve"> STYLEREF 1 \s </w:instrText>
      </w:r>
      <w:r>
        <w:rPr>
          <w:rFonts w:ascii="Times New Roman" w:hAnsi="Times New Roman" w:eastAsia="宋体"/>
          <w:b/>
          <w:bCs/>
          <w:color w:val="000000" w:themeColor="text1"/>
          <w:sz w:val="24"/>
          <w:szCs w:val="18"/>
        </w:rPr>
        <w:fldChar w:fldCharType="separate"/>
      </w:r>
      <w:r>
        <w:rPr>
          <w:rStyle w:val="29"/>
          <w:rFonts w:ascii="Times New Roman" w:hAnsi="Times New Roman" w:eastAsia="宋体"/>
          <w:b/>
          <w:bCs/>
          <w:color w:val="000000" w:themeColor="text1"/>
          <w:sz w:val="24"/>
        </w:rPr>
        <w:t>2</w:t>
      </w:r>
      <w:r>
        <w:rPr>
          <w:rFonts w:ascii="Times New Roman" w:hAnsi="Times New Roman" w:eastAsia="宋体"/>
          <w:b/>
          <w:bCs/>
          <w:color w:val="000000" w:themeColor="text1"/>
          <w:sz w:val="24"/>
          <w:szCs w:val="18"/>
        </w:rPr>
        <w:fldChar w:fldCharType="end"/>
      </w:r>
      <w:r>
        <w:rPr>
          <w:rStyle w:val="29"/>
          <w:rFonts w:ascii="Times New Roman" w:hAnsi="Times New Roman" w:eastAsia="宋体"/>
          <w:b/>
          <w:bCs/>
          <w:color w:val="000000" w:themeColor="text1"/>
          <w:sz w:val="24"/>
        </w:rPr>
        <w:noBreakHyphen/>
      </w:r>
      <w:r>
        <w:rPr>
          <w:rFonts w:hint="eastAsia" w:ascii="Times New Roman" w:hAnsi="Times New Roman" w:eastAsia="宋体"/>
          <w:b/>
          <w:bCs/>
          <w:color w:val="000000" w:themeColor="text1"/>
          <w:sz w:val="24"/>
          <w:szCs w:val="18"/>
        </w:rPr>
        <w:t>1</w:t>
      </w:r>
      <w:r>
        <w:rPr>
          <w:rStyle w:val="29"/>
          <w:rFonts w:hint="eastAsia" w:ascii="Times New Roman" w:hAnsi="Times New Roman" w:eastAsia="宋体"/>
          <w:b/>
          <w:bCs/>
          <w:color w:val="000000" w:themeColor="text1"/>
          <w:sz w:val="24"/>
        </w:rPr>
        <w:t>泉州台商投资区</w:t>
      </w:r>
      <w:r>
        <w:rPr>
          <w:rStyle w:val="29"/>
          <w:rFonts w:ascii="Times New Roman" w:hAnsi="Times New Roman" w:eastAsia="宋体"/>
          <w:b/>
          <w:bCs/>
          <w:color w:val="000000" w:themeColor="text1"/>
          <w:sz w:val="24"/>
        </w:rPr>
        <w:t>近年</w:t>
      </w:r>
      <w:r>
        <w:rPr>
          <w:rStyle w:val="29"/>
          <w:rFonts w:hint="eastAsia" w:ascii="Times New Roman" w:hAnsi="Times New Roman" w:eastAsia="宋体"/>
          <w:b/>
          <w:bCs/>
          <w:color w:val="000000" w:themeColor="text1"/>
          <w:sz w:val="24"/>
        </w:rPr>
        <w:t>常住人口</w:t>
      </w:r>
      <w:r>
        <w:rPr>
          <w:rStyle w:val="29"/>
          <w:rFonts w:ascii="Times New Roman" w:hAnsi="Times New Roman" w:eastAsia="宋体"/>
          <w:b/>
          <w:bCs/>
          <w:color w:val="000000" w:themeColor="text1"/>
          <w:sz w:val="24"/>
        </w:rPr>
        <w:t>增长趋势</w:t>
      </w:r>
      <w:bookmarkEnd w:id="11"/>
      <w:bookmarkEnd w:id="12"/>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2.1.3</w:t>
      </w:r>
      <w:r>
        <w:rPr>
          <w:rFonts w:eastAsia="黑体"/>
          <w:bCs/>
          <w:color w:val="000000" w:themeColor="text1"/>
          <w:sz w:val="30"/>
          <w:szCs w:val="30"/>
          <w:lang w:bidi="en-US"/>
        </w:rPr>
        <w:t>经济发展现状及特点</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近年来，</w:t>
      </w:r>
      <w:r>
        <w:rPr>
          <w:rFonts w:hint="eastAsia"/>
          <w:color w:val="000000" w:themeColor="text1"/>
          <w:kern w:val="0"/>
          <w:sz w:val="28"/>
        </w:rPr>
        <w:t>泉州台商投资区</w:t>
      </w:r>
      <w:r>
        <w:rPr>
          <w:color w:val="000000" w:themeColor="text1"/>
          <w:kern w:val="0"/>
          <w:sz w:val="28"/>
        </w:rPr>
        <w:t>经济以高于10%的年均增长速度快速增长，并且增长趋势明显。</w:t>
      </w:r>
      <w:r>
        <w:rPr>
          <w:rFonts w:hint="eastAsia"/>
          <w:color w:val="000000" w:themeColor="text1"/>
          <w:kern w:val="0"/>
          <w:sz w:val="28"/>
        </w:rPr>
        <w:t>泉州台商投资区</w:t>
      </w:r>
      <w:r>
        <w:rPr>
          <w:color w:val="000000" w:themeColor="text1"/>
          <w:kern w:val="0"/>
          <w:sz w:val="28"/>
        </w:rPr>
        <w:t>经济发展情况见</w:t>
      </w:r>
      <w:bookmarkStart w:id="13" w:name="_Toc432799145"/>
      <w:r>
        <w:rPr>
          <w:rFonts w:hint="eastAsia"/>
          <w:color w:val="000000" w:themeColor="text1"/>
          <w:kern w:val="0"/>
          <w:sz w:val="28"/>
        </w:rPr>
        <w:t>图2-2。</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2017年，泉州台商投资区实际利用外资3.11亿元，增长64.3%；出口商品总额30.49亿元，增长15.1%。这2项指标增速全市第一。</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2017年泉州台商投资区全年实现地区生产总值260.54亿元，增长8.6%，高于全市平均增速0.2个百分点；工业增加值175.30亿元，增长8.1%，其中规上工业增加值159.98亿元，增长8.7%；第三产业增加值63.43亿元，增长12.5%，增速位居全市第三；固定资产投资202.85亿元；一般公共预算总收入13.37亿元，增长7.4%；社会消费品零售额75.47亿元，增长11.5%。2017年，泉州台商投资区省市重点项目投资106.37亿元，完成年度计划的124.5%，其中在建省市重点项目投资97亿元，完成年度计划的127.9%，进度排名全市第一。</w:t>
      </w:r>
    </w:p>
    <w:bookmarkEnd w:id="13"/>
    <w:p>
      <w:pPr>
        <w:pStyle w:val="27"/>
        <w:ind w:firstLine="0" w:firstLineChars="0"/>
        <w:jc w:val="center"/>
        <w:rPr>
          <w:color w:val="000000" w:themeColor="text1"/>
        </w:rPr>
      </w:pPr>
      <w:r>
        <w:rPr>
          <w:color w:val="000000" w:themeColor="text1"/>
        </w:rPr>
        <w:drawing>
          <wp:inline distT="0" distB="0" distL="0" distR="0">
            <wp:extent cx="4572000" cy="2743200"/>
            <wp:effectExtent l="0" t="0" r="19050" b="1905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7"/>
        <w:rPr>
          <w:rStyle w:val="29"/>
          <w:rFonts w:ascii="Times New Roman" w:hAnsi="Times New Roman" w:eastAsia="宋体"/>
          <w:b/>
          <w:bCs/>
          <w:color w:val="000000" w:themeColor="text1"/>
          <w:sz w:val="24"/>
        </w:rPr>
      </w:pPr>
      <w:bookmarkStart w:id="14" w:name="_Toc432799170"/>
      <w:bookmarkStart w:id="15" w:name="_Toc470272629"/>
      <w:r>
        <w:rPr>
          <w:rStyle w:val="29"/>
          <w:rFonts w:ascii="Times New Roman" w:hAnsi="Times New Roman" w:eastAsia="宋体"/>
          <w:b/>
          <w:bCs/>
          <w:color w:val="000000" w:themeColor="text1"/>
          <w:sz w:val="24"/>
        </w:rPr>
        <w:t>图</w:t>
      </w:r>
      <w:r>
        <w:rPr>
          <w:rFonts w:ascii="Times New Roman" w:hAnsi="Times New Roman" w:eastAsia="宋体"/>
          <w:b/>
          <w:bCs/>
          <w:color w:val="000000" w:themeColor="text1"/>
          <w:sz w:val="24"/>
          <w:szCs w:val="18"/>
        </w:rPr>
        <w:fldChar w:fldCharType="begin"/>
      </w:r>
      <w:r>
        <w:rPr>
          <w:rStyle w:val="29"/>
          <w:rFonts w:ascii="Times New Roman" w:hAnsi="Times New Roman" w:eastAsia="宋体"/>
          <w:b/>
          <w:bCs/>
          <w:color w:val="000000" w:themeColor="text1"/>
          <w:sz w:val="24"/>
        </w:rPr>
        <w:instrText xml:space="preserve"> STYLEREF 1 \s </w:instrText>
      </w:r>
      <w:r>
        <w:rPr>
          <w:rFonts w:ascii="Times New Roman" w:hAnsi="Times New Roman" w:eastAsia="宋体"/>
          <w:b/>
          <w:bCs/>
          <w:color w:val="000000" w:themeColor="text1"/>
          <w:sz w:val="24"/>
          <w:szCs w:val="18"/>
        </w:rPr>
        <w:fldChar w:fldCharType="separate"/>
      </w:r>
      <w:r>
        <w:rPr>
          <w:rStyle w:val="29"/>
          <w:rFonts w:ascii="Times New Roman" w:hAnsi="Times New Roman" w:eastAsia="宋体"/>
          <w:b/>
          <w:bCs/>
          <w:color w:val="000000" w:themeColor="text1"/>
          <w:sz w:val="24"/>
        </w:rPr>
        <w:t>2</w:t>
      </w:r>
      <w:r>
        <w:rPr>
          <w:rFonts w:ascii="Times New Roman" w:hAnsi="Times New Roman" w:eastAsia="宋体"/>
          <w:b/>
          <w:bCs/>
          <w:color w:val="000000" w:themeColor="text1"/>
          <w:sz w:val="24"/>
          <w:szCs w:val="18"/>
        </w:rPr>
        <w:fldChar w:fldCharType="end"/>
      </w:r>
      <w:r>
        <w:rPr>
          <w:rStyle w:val="29"/>
          <w:rFonts w:ascii="Times New Roman" w:hAnsi="Times New Roman" w:eastAsia="宋体"/>
          <w:b/>
          <w:bCs/>
          <w:color w:val="000000" w:themeColor="text1"/>
          <w:sz w:val="24"/>
        </w:rPr>
        <w:noBreakHyphen/>
      </w:r>
      <w:r>
        <w:rPr>
          <w:rFonts w:hint="eastAsia" w:ascii="Times New Roman" w:hAnsi="Times New Roman" w:eastAsia="宋体"/>
          <w:b/>
          <w:bCs/>
          <w:color w:val="000000" w:themeColor="text1"/>
          <w:sz w:val="24"/>
          <w:szCs w:val="18"/>
        </w:rPr>
        <w:t>2</w:t>
      </w:r>
      <w:r>
        <w:rPr>
          <w:rStyle w:val="29"/>
          <w:rFonts w:hint="eastAsia" w:ascii="Times New Roman" w:hAnsi="Times New Roman" w:eastAsia="宋体"/>
          <w:b/>
          <w:bCs/>
          <w:color w:val="000000" w:themeColor="text1"/>
          <w:sz w:val="24"/>
        </w:rPr>
        <w:t>泉州台商投资区</w:t>
      </w:r>
      <w:r>
        <w:rPr>
          <w:rStyle w:val="29"/>
          <w:rFonts w:ascii="Times New Roman" w:hAnsi="Times New Roman" w:eastAsia="宋体"/>
          <w:b/>
          <w:bCs/>
          <w:color w:val="000000" w:themeColor="text1"/>
          <w:sz w:val="24"/>
        </w:rPr>
        <w:t>历年</w:t>
      </w:r>
      <w:r>
        <w:rPr>
          <w:rStyle w:val="29"/>
          <w:rFonts w:hint="eastAsia" w:ascii="Times New Roman" w:hAnsi="Times New Roman" w:eastAsia="宋体"/>
          <w:b/>
          <w:bCs/>
          <w:color w:val="000000" w:themeColor="text1"/>
          <w:sz w:val="24"/>
        </w:rPr>
        <w:t>GDP</w:t>
      </w:r>
      <w:r>
        <w:rPr>
          <w:rStyle w:val="29"/>
          <w:rFonts w:ascii="Times New Roman" w:hAnsi="Times New Roman" w:eastAsia="宋体"/>
          <w:b/>
          <w:bCs/>
          <w:color w:val="000000" w:themeColor="text1"/>
          <w:sz w:val="24"/>
        </w:rPr>
        <w:t>变化示意</w:t>
      </w:r>
      <w:bookmarkEnd w:id="14"/>
      <w:bookmarkEnd w:id="15"/>
    </w:p>
    <w:p>
      <w:pPr>
        <w:jc w:val="center"/>
        <w:rPr>
          <w:color w:val="000000" w:themeColor="text1"/>
        </w:rPr>
      </w:pPr>
      <w:r>
        <w:rPr>
          <w:color w:val="000000" w:themeColor="text1"/>
        </w:rPr>
        <w:drawing>
          <wp:inline distT="0" distB="0" distL="0" distR="0">
            <wp:extent cx="5200650" cy="2890520"/>
            <wp:effectExtent l="0" t="0" r="19050" b="24130"/>
            <wp:docPr id="10"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7"/>
        <w:ind w:firstLine="482"/>
        <w:rPr>
          <w:rStyle w:val="29"/>
          <w:rFonts w:ascii="Times New Roman" w:hAnsi="Times New Roman" w:eastAsia="宋体"/>
          <w:b/>
          <w:bCs/>
          <w:color w:val="000000" w:themeColor="text1"/>
          <w:sz w:val="24"/>
        </w:rPr>
      </w:pPr>
      <w:r>
        <w:rPr>
          <w:rStyle w:val="29"/>
          <w:rFonts w:ascii="Times New Roman" w:hAnsi="Times New Roman" w:eastAsia="宋体"/>
          <w:b/>
          <w:bCs/>
          <w:color w:val="000000" w:themeColor="text1"/>
          <w:sz w:val="24"/>
        </w:rPr>
        <w:t>图</w:t>
      </w:r>
      <w:r>
        <w:rPr>
          <w:rStyle w:val="29"/>
          <w:rFonts w:ascii="Times New Roman" w:hAnsi="Times New Roman" w:eastAsia="宋体"/>
          <w:color w:val="000000" w:themeColor="text1"/>
          <w:sz w:val="24"/>
        </w:rPr>
        <w:fldChar w:fldCharType="begin"/>
      </w:r>
      <w:r>
        <w:rPr>
          <w:rStyle w:val="29"/>
          <w:rFonts w:ascii="Times New Roman" w:hAnsi="Times New Roman" w:eastAsia="宋体"/>
          <w:b/>
          <w:bCs/>
          <w:color w:val="000000" w:themeColor="text1"/>
          <w:sz w:val="24"/>
        </w:rPr>
        <w:instrText xml:space="preserve"> STYLEREF 1 \s </w:instrText>
      </w:r>
      <w:r>
        <w:rPr>
          <w:rStyle w:val="29"/>
          <w:rFonts w:ascii="Times New Roman" w:hAnsi="Times New Roman" w:eastAsia="宋体"/>
          <w:color w:val="000000" w:themeColor="text1"/>
          <w:sz w:val="24"/>
        </w:rPr>
        <w:fldChar w:fldCharType="separate"/>
      </w:r>
      <w:r>
        <w:rPr>
          <w:rStyle w:val="29"/>
          <w:rFonts w:ascii="Times New Roman" w:hAnsi="Times New Roman" w:eastAsia="宋体"/>
          <w:b/>
          <w:bCs/>
          <w:color w:val="000000" w:themeColor="text1"/>
          <w:sz w:val="24"/>
        </w:rPr>
        <w:t>2</w:t>
      </w:r>
      <w:r>
        <w:rPr>
          <w:rStyle w:val="29"/>
          <w:rFonts w:ascii="Times New Roman" w:hAnsi="Times New Roman" w:eastAsia="宋体"/>
          <w:color w:val="000000" w:themeColor="text1"/>
          <w:sz w:val="24"/>
        </w:rPr>
        <w:fldChar w:fldCharType="end"/>
      </w:r>
      <w:r>
        <w:rPr>
          <w:rStyle w:val="29"/>
          <w:rFonts w:ascii="Times New Roman" w:hAnsi="Times New Roman" w:eastAsia="宋体"/>
          <w:b/>
          <w:bCs/>
          <w:color w:val="000000" w:themeColor="text1"/>
          <w:sz w:val="24"/>
        </w:rPr>
        <w:noBreakHyphen/>
      </w:r>
      <w:r>
        <w:rPr>
          <w:rStyle w:val="29"/>
          <w:rFonts w:hint="eastAsia" w:ascii="Times New Roman" w:hAnsi="Times New Roman" w:eastAsia="宋体"/>
          <w:color w:val="000000" w:themeColor="text1"/>
          <w:sz w:val="24"/>
        </w:rPr>
        <w:t>3</w:t>
      </w:r>
      <w:r>
        <w:rPr>
          <w:rStyle w:val="29"/>
          <w:rFonts w:hint="eastAsia" w:ascii="Times New Roman" w:hAnsi="Times New Roman" w:eastAsia="宋体"/>
          <w:b/>
          <w:bCs/>
          <w:color w:val="000000" w:themeColor="text1"/>
          <w:sz w:val="24"/>
        </w:rPr>
        <w:t>泉州台商投资区</w:t>
      </w:r>
      <w:r>
        <w:rPr>
          <w:rStyle w:val="29"/>
          <w:rFonts w:ascii="Times New Roman" w:hAnsi="Times New Roman" w:eastAsia="宋体"/>
          <w:b/>
          <w:bCs/>
          <w:color w:val="000000" w:themeColor="text1"/>
          <w:sz w:val="24"/>
        </w:rPr>
        <w:t>历年</w:t>
      </w:r>
      <w:r>
        <w:rPr>
          <w:rStyle w:val="29"/>
          <w:rFonts w:hint="eastAsia" w:ascii="Times New Roman" w:hAnsi="Times New Roman" w:eastAsia="宋体"/>
          <w:b/>
          <w:bCs/>
          <w:color w:val="000000" w:themeColor="text1"/>
          <w:sz w:val="24"/>
        </w:rPr>
        <w:t>社会消费品零售额发展情况</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随着GDP的逐年稳步提高，人民的消费水平大幅提高，泉州台商投资区社会消费品零售额逐年攀升。社会消费品零售额发展情况及</w:t>
      </w:r>
      <w:r>
        <w:rPr>
          <w:color w:val="000000" w:themeColor="text1"/>
          <w:kern w:val="0"/>
          <w:sz w:val="28"/>
        </w:rPr>
        <w:t>增长趋势如</w:t>
      </w:r>
      <w:r>
        <w:rPr>
          <w:rFonts w:hint="eastAsia"/>
          <w:color w:val="000000" w:themeColor="text1"/>
          <w:kern w:val="0"/>
          <w:sz w:val="28"/>
        </w:rPr>
        <w:t>图2-3</w:t>
      </w:r>
      <w:r>
        <w:rPr>
          <w:color w:val="000000" w:themeColor="text1"/>
          <w:kern w:val="0"/>
          <w:sz w:val="28"/>
        </w:rPr>
        <w:t>所示。</w:t>
      </w:r>
      <w:r>
        <w:rPr>
          <w:rFonts w:hint="eastAsia"/>
          <w:color w:val="000000" w:themeColor="text1"/>
          <w:kern w:val="0"/>
          <w:sz w:val="28"/>
        </w:rPr>
        <w:t>泉州台商投资区在经济高速增长以及消费需求带动下，物流服务需求总量也随之持续增长。</w:t>
      </w:r>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2.1.4 农村物流发展情况</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（1）快递行业快速健康发展</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在经济新常态、“互联网+”的社会发展背景下,电子商务呈现出快速发展姿态，泉州台商投资区快递企业其相关的寄递服务需求呈现极大的增长。具体见图2-4。</w:t>
      </w:r>
    </w:p>
    <w:p>
      <w:pPr>
        <w:snapToGrid w:val="0"/>
        <w:spacing w:line="360" w:lineRule="auto"/>
        <w:ind w:left="433" w:hanging="432" w:hangingChars="206"/>
        <w:jc w:val="center"/>
        <w:rPr>
          <w:color w:val="000000" w:themeColor="text1"/>
          <w:kern w:val="0"/>
          <w:sz w:val="28"/>
        </w:rPr>
      </w:pPr>
      <w:r>
        <w:rPr>
          <w:color w:val="000000" w:themeColor="text1"/>
        </w:rPr>
        <w:drawing>
          <wp:inline distT="0" distB="0" distL="0" distR="0">
            <wp:extent cx="4572000" cy="2743200"/>
            <wp:effectExtent l="0" t="0" r="19050" b="19050"/>
            <wp:docPr id="1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napToGrid w:val="0"/>
        <w:spacing w:line="360" w:lineRule="auto"/>
        <w:ind w:left="576" w:hanging="576" w:hangingChars="239"/>
        <w:jc w:val="center"/>
        <w:rPr>
          <w:color w:val="000000" w:themeColor="text1"/>
          <w:kern w:val="0"/>
          <w:sz w:val="28"/>
        </w:rPr>
      </w:pPr>
      <w:r>
        <w:rPr>
          <w:rStyle w:val="29"/>
          <w:rFonts w:ascii="Times New Roman" w:hAnsi="Times New Roman"/>
          <w:b/>
          <w:bCs/>
          <w:color w:val="000000" w:themeColor="text1"/>
          <w:sz w:val="24"/>
        </w:rPr>
        <w:t>图</w:t>
      </w:r>
      <w:r>
        <w:rPr>
          <w:b/>
          <w:bCs/>
          <w:color w:val="000000" w:themeColor="text1"/>
          <w:sz w:val="24"/>
          <w:szCs w:val="18"/>
        </w:rPr>
        <w:fldChar w:fldCharType="begin"/>
      </w:r>
      <w:r>
        <w:rPr>
          <w:rStyle w:val="29"/>
          <w:rFonts w:ascii="Times New Roman" w:hAnsi="Times New Roman"/>
          <w:b/>
          <w:bCs/>
          <w:color w:val="000000" w:themeColor="text1"/>
          <w:sz w:val="24"/>
        </w:rPr>
        <w:instrText xml:space="preserve"> STYLEREF 1 \s </w:instrText>
      </w:r>
      <w:r>
        <w:rPr>
          <w:b/>
          <w:bCs/>
          <w:color w:val="000000" w:themeColor="text1"/>
          <w:sz w:val="24"/>
          <w:szCs w:val="18"/>
        </w:rPr>
        <w:fldChar w:fldCharType="separate"/>
      </w:r>
      <w:r>
        <w:rPr>
          <w:rStyle w:val="29"/>
          <w:rFonts w:ascii="Times New Roman" w:hAnsi="Times New Roman"/>
          <w:b/>
          <w:bCs/>
          <w:color w:val="000000" w:themeColor="text1"/>
          <w:sz w:val="24"/>
        </w:rPr>
        <w:t>2</w:t>
      </w:r>
      <w:r>
        <w:rPr>
          <w:b/>
          <w:bCs/>
          <w:color w:val="000000" w:themeColor="text1"/>
          <w:sz w:val="24"/>
          <w:szCs w:val="18"/>
        </w:rPr>
        <w:fldChar w:fldCharType="end"/>
      </w:r>
      <w:r>
        <w:rPr>
          <w:rStyle w:val="29"/>
          <w:rFonts w:ascii="Times New Roman" w:hAnsi="Times New Roman"/>
          <w:b/>
          <w:bCs/>
          <w:color w:val="000000" w:themeColor="text1"/>
          <w:sz w:val="24"/>
        </w:rPr>
        <w:noBreakHyphen/>
      </w:r>
      <w:r>
        <w:rPr>
          <w:rFonts w:hint="eastAsia"/>
          <w:b/>
          <w:bCs/>
          <w:color w:val="000000" w:themeColor="text1"/>
          <w:sz w:val="24"/>
          <w:szCs w:val="18"/>
        </w:rPr>
        <w:t>4</w:t>
      </w:r>
      <w:r>
        <w:rPr>
          <w:rStyle w:val="29"/>
          <w:rFonts w:hint="eastAsia" w:ascii="Times New Roman" w:hAnsi="Times New Roman"/>
          <w:b/>
          <w:bCs/>
          <w:color w:val="000000" w:themeColor="text1"/>
          <w:sz w:val="24"/>
        </w:rPr>
        <w:t>泉州台商投资区</w:t>
      </w:r>
      <w:r>
        <w:rPr>
          <w:rStyle w:val="29"/>
          <w:rFonts w:ascii="Times New Roman" w:hAnsi="Times New Roman"/>
          <w:b/>
          <w:bCs/>
          <w:color w:val="000000" w:themeColor="text1"/>
          <w:sz w:val="24"/>
        </w:rPr>
        <w:t>历年</w:t>
      </w:r>
      <w:r>
        <w:rPr>
          <w:rStyle w:val="29"/>
          <w:rFonts w:hint="eastAsia" w:ascii="Times New Roman" w:hAnsi="Times New Roman"/>
          <w:b/>
          <w:bCs/>
          <w:color w:val="000000" w:themeColor="text1"/>
          <w:sz w:val="24"/>
        </w:rPr>
        <w:t>快递业务量增长趋势图</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目前在泉州台商投资区总共有邮政速递、顺丰、邮政、德邦、申通、全通、稳通、韵达快运、华通物流、鸿运通快递、快通物流等11家物流快递公司。2017年中国邮政速递物流股份有限公司福建省惠安县分公司在泉州台商投资区各乡镇的快递收发货量如图2-5。</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我们可以看出，泉州台商投资区各乡镇的收发货量是不平衡的。同时除了东园镇是发货量大于收货量，其他三个乡镇都是收货量大于发货量，而且有的乡镇年发货量低于1000件。农村物流的服务大部分体现在配送上。如何良好地解决“最后一公里”将是一个极大的挑战。</w:t>
      </w:r>
    </w:p>
    <w:p>
      <w:pPr>
        <w:snapToGrid w:val="0"/>
        <w:spacing w:before="0" w:after="0" w:line="360" w:lineRule="auto"/>
        <w:ind w:left="433" w:hanging="432" w:hangingChars="206"/>
        <w:jc w:val="left"/>
        <w:rPr>
          <w:color w:val="000000" w:themeColor="text1"/>
          <w:kern w:val="0"/>
          <w:sz w:val="28"/>
        </w:rPr>
      </w:pPr>
      <w:r>
        <w:rPr>
          <w:color w:val="000000" w:themeColor="text1"/>
        </w:rPr>
        <w:drawing>
          <wp:inline distT="0" distB="0" distL="0" distR="0">
            <wp:extent cx="5289550" cy="3401060"/>
            <wp:effectExtent l="19050" t="0" r="25374" b="8382"/>
            <wp:docPr id="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napToGrid w:val="0"/>
        <w:spacing w:line="360" w:lineRule="auto"/>
        <w:ind w:firstLine="0"/>
        <w:jc w:val="center"/>
        <w:rPr>
          <w:rStyle w:val="29"/>
          <w:rFonts w:ascii="Times New Roman" w:hAnsi="Times New Roman"/>
          <w:b/>
          <w:bCs/>
          <w:color w:val="000000" w:themeColor="text1"/>
          <w:sz w:val="24"/>
        </w:rPr>
      </w:pPr>
      <w:r>
        <w:rPr>
          <w:rStyle w:val="29"/>
          <w:rFonts w:ascii="Times New Roman" w:hAnsi="Times New Roman"/>
          <w:b/>
          <w:bCs/>
          <w:color w:val="000000" w:themeColor="text1"/>
          <w:sz w:val="24"/>
        </w:rPr>
        <w:t>图</w:t>
      </w:r>
      <w:r>
        <w:rPr>
          <w:rStyle w:val="29"/>
          <w:rFonts w:ascii="Times New Roman" w:hAnsi="Times New Roman"/>
          <w:b/>
          <w:bCs/>
          <w:color w:val="000000" w:themeColor="text1"/>
          <w:sz w:val="24"/>
        </w:rPr>
        <w:fldChar w:fldCharType="begin"/>
      </w:r>
      <w:r>
        <w:rPr>
          <w:rStyle w:val="29"/>
          <w:rFonts w:ascii="Times New Roman" w:hAnsi="Times New Roman"/>
          <w:b/>
          <w:bCs/>
          <w:color w:val="000000" w:themeColor="text1"/>
          <w:sz w:val="24"/>
        </w:rPr>
        <w:instrText xml:space="preserve"> STYLEREF 1 \s </w:instrText>
      </w:r>
      <w:r>
        <w:rPr>
          <w:rStyle w:val="29"/>
          <w:rFonts w:ascii="Times New Roman" w:hAnsi="Times New Roman"/>
          <w:b/>
          <w:bCs/>
          <w:color w:val="000000" w:themeColor="text1"/>
          <w:sz w:val="24"/>
        </w:rPr>
        <w:fldChar w:fldCharType="separate"/>
      </w:r>
      <w:r>
        <w:rPr>
          <w:rStyle w:val="29"/>
          <w:rFonts w:ascii="Times New Roman" w:hAnsi="Times New Roman"/>
          <w:b/>
          <w:bCs/>
          <w:color w:val="000000" w:themeColor="text1"/>
          <w:sz w:val="24"/>
        </w:rPr>
        <w:t>2</w:t>
      </w:r>
      <w:r>
        <w:rPr>
          <w:rStyle w:val="29"/>
          <w:rFonts w:ascii="Times New Roman" w:hAnsi="Times New Roman"/>
          <w:b/>
          <w:bCs/>
          <w:color w:val="000000" w:themeColor="text1"/>
          <w:sz w:val="24"/>
        </w:rPr>
        <w:fldChar w:fldCharType="end"/>
      </w:r>
      <w:r>
        <w:rPr>
          <w:rStyle w:val="29"/>
          <w:rFonts w:ascii="Times New Roman" w:hAnsi="Times New Roman"/>
          <w:b/>
          <w:bCs/>
          <w:color w:val="000000" w:themeColor="text1"/>
          <w:sz w:val="24"/>
        </w:rPr>
        <w:noBreakHyphen/>
      </w:r>
      <w:r>
        <w:rPr>
          <w:rStyle w:val="29"/>
          <w:rFonts w:hint="eastAsia" w:ascii="Times New Roman" w:hAnsi="Times New Roman"/>
          <w:b/>
          <w:bCs/>
          <w:color w:val="000000" w:themeColor="text1"/>
          <w:sz w:val="24"/>
        </w:rPr>
        <w:t>5 2017年中国邮政速递物流在泉州台商投资区各乡镇的快递收发货量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（2）物流节点建设不断完善</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为加快物流园区建设，2018年泉州市共有5个项目纳入省、市物流园区提升工程包，以不断完善泉州市物流园区配套设施建设，提高园区信息化水平，进一步提升物流园区的管理和服务能力。其中台商投资区，重点推进</w:t>
      </w:r>
      <w:r>
        <w:fldChar w:fldCharType="begin"/>
      </w:r>
      <w:r>
        <w:instrText xml:space="preserve"> HYPERLINK "http://www.mnw.cn/quanzhou/ts/" \t "_blank" </w:instrText>
      </w:r>
      <w:r>
        <w:fldChar w:fldCharType="separate"/>
      </w:r>
      <w:r>
        <w:rPr>
          <w:rFonts w:hint="eastAsia"/>
          <w:color w:val="000000" w:themeColor="text1"/>
          <w:kern w:val="0"/>
          <w:sz w:val="28"/>
        </w:rPr>
        <w:t>泉州台商投资区</w:t>
      </w:r>
      <w:r>
        <w:rPr>
          <w:rFonts w:hint="eastAsia"/>
          <w:color w:val="000000" w:themeColor="text1"/>
          <w:kern w:val="0"/>
          <w:sz w:val="28"/>
        </w:rPr>
        <w:fldChar w:fldCharType="end"/>
      </w:r>
      <w:r>
        <w:rPr>
          <w:rFonts w:hint="eastAsia"/>
          <w:color w:val="000000" w:themeColor="text1"/>
          <w:kern w:val="0"/>
          <w:sz w:val="28"/>
        </w:rPr>
        <w:t>丰树东南产业物流园项目建设，2018年力争完成投资8000万元。项目用地面积105000平方米，建筑面积125000平方米，总投资约4亿元。</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台商投资区经过多年的发展，物流节点建设已出具规模。目前货运代理相关</w:t>
      </w:r>
      <w:r>
        <w:rPr>
          <w:rFonts w:hint="eastAsia"/>
          <w:color w:val="FF0000"/>
          <w:kern w:val="0"/>
          <w:sz w:val="28"/>
          <w:lang w:val="en-US" w:eastAsia="zh-CN"/>
        </w:rPr>
        <w:t>业户</w:t>
      </w:r>
      <w:r>
        <w:rPr>
          <w:rFonts w:hint="eastAsia"/>
          <w:color w:val="000000" w:themeColor="text1"/>
          <w:kern w:val="0"/>
          <w:sz w:val="28"/>
        </w:rPr>
        <w:t>总共158家。村级农村物流服务点方面，供销社已在10个乡镇和部分自然村布点，目前已有村级农村物流服务点50个。主要集中在城区和一些大的乡镇，农村较少。一些偏远乡村和人口较少的乡村没有物流服务点。</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（3）电子商务产业蓬勃发展</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近五年来，泉州市累计完成外贸进出口1348亿美元；实际利用外资76.8亿美元，年均增长3%；社会消费品零售总额年均增长11.6%；与海丝沿线国家和地区贸易额年均增长14.5%。泉州2017年电商交易总额突破4000亿元，同比增42%，其中网络零售额1076.1亿元，比增32.1%。电子商务交易额连续三年保持全国第7位，全省首位。</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2018年9月泉州市台商区举办电商创新发展专题论坛，活动吸引了企业家、电子商务人才、在校大学生等200余人参加。旨在通过邀请不同领域的专家学者共话新时期电子商务产业发展途径，帮助区域内电商人才确立新理念，创新产销模式，抓好顶层设计，打造电商运营新平台，做大做强电商产业。</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当前，全区经认证的电子商务企业150多家，其中集友鞋业、舒华运动器材、洲克泳装、三舒体育用品、八哥服饰、益源鞋业、大宝山茶业、征途电子商务公司等一大批企业借助电子商务带动实体经济进一步发展。此外，庄佳物流、盛丰物流、畅顺物流、晋亿物流等第三方物流企业以及申通、圆通、中通、韵达、顺丰、邮政等快递企业的入驻为企业开展电子商务提供了物流配送基础。</w:t>
      </w:r>
    </w:p>
    <w:p>
      <w:pPr>
        <w:pStyle w:val="3"/>
        <w:jc w:val="left"/>
        <w:rPr>
          <w:rFonts w:ascii="Times New Roman" w:hAnsi="Times New Roman"/>
          <w:color w:val="000000" w:themeColor="text1"/>
        </w:rPr>
      </w:pPr>
      <w:bookmarkStart w:id="16" w:name="_Toc528526450"/>
      <w:r>
        <w:rPr>
          <w:rFonts w:hint="eastAsia" w:ascii="Times New Roman" w:hAnsi="Times New Roman"/>
          <w:color w:val="000000" w:themeColor="text1"/>
        </w:rPr>
        <w:t>2.2存在的问题</w:t>
      </w:r>
      <w:bookmarkEnd w:id="16"/>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（1）物流设施和技术落后</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第一，部分农村交通网络仍不够发达，通达深度不够，交通存在问题。由于很多通往行政村、自然村的道路状况差，交通设施落后，导致运输难度加大，农村物流配送运营成本高；第二，现代化冷藏储运设施发展滞后，普遍缺乏流通中所需的冷藏设备。目前台商投资区农村的农产品物流仍是以常温或自然物流为主，冷链物流尚不普及，导致农产品销售距离短，损耗也严重；第三，农产品流通技术落后，农产品流通标准化程度低。目前区农产品的加工、冷藏与保鲜、包装技术滞后，技术装备水平低，新技术的应用普遍较少。第四，农村物流信息化程度较低，信息处理手段与技术落后，使得信息处理功能欠缺、电子商务应用滞后而造成商流、物流、资金流、信息流缺乏协同效应。</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（2）流通信息不畅通</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台商投资区尚未构建完善的农产品信息网，无法将农产品供需信息及时、快速地在地区间进行传递，实现信息共享。其次，信息网络覆盖范围小。农业信息网络构建工作落后，致使农产品生产源——农村地区市场信息闭塞，农户获取信息成本过高，计算机在农村地区普及率、使用率低，电子商务的在农村地区的应用基本属于空白地带。最后，各信息网络缺少公共平台，相互交流沟通少，无法实现信息的对接，导致农产品供应与消费之间处于不透明状态。</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（3）物流末端配送发展滞后，物流服务体验差</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目前地区农村电商物流从乡镇到农村的“最后一公里”配送方式主要有三种。第一，镇上快递点自取。这是农村最广泛的一种模式，快递包裹会在网点存放三天由村民自主来取，若三天不取则上报不愿自取后直接退回。第二，快递派送至村口，等待村民前来自提，很少能送货上门。同时收件效果也不理想，时常存在联系不当或距离远等情境，一方面造成快递员耗时等候、效率低下。另一方面导致农村用户寄件体验差。</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（4）物流企业各自为营，企业进行农村物流配送成本高</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每个物流公司都有自己的经营模式，在最后一公里配送上各自为营，这样在物流体系建设上存在功能重复，资源配置浪费。有些小的物流公司镇的物流点是承包出去的，物流点和总公司是合作关系，没有上下级关系，公司内部存在管理监管困难，同时也造成政府无法对物流企业进行有效监管。另外由于农村物流量批量少，地点偏远，企业进行农村地区物流配送的成本相较于城市高。一些偏远的农村，很多物流公司出于成本的考虑放弃了这一块市场，业务范围无法覆盖到所有农村。只有一些大的物流公司，比如邮政、顺丰才能做到所有农村全覆盖。</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（5）农村物流意识薄弱</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随着电商快速的发展，无论是通过网络出售农产品、手工艺品还是网购生活用品，都有了大幅度的提升。但是还存在大部分农民家庭拥有了电脑，连上了网络，只是为了在外学习或工作的子女回家时使用方便，在家务工的农村年轻人占比不高，造成了“在家的不懂，懂的在外不愿意回来”、“想做却不懂如何做”的现象，缺乏专业的引导和培训，制约了农村物流的发展。</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（6）专业化电商服务机构及电商服务人才缺乏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近年台商投资区电商环境已有很大改善，但总体上看仍存在专业服务机构不足，包括在线支付、信用、金融服务、监管、信息安全、统计监测等在内的电商服务支撑体系不完善的问题仍很突出，这不仅增加了台商投资区电商企业的经营成本，更制约了电商企业经营能力的提升。</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台商投资区本地高等职业院校已逐步引入电子商务专业教育，如泉州华光摄影学院开设了电子商务、物流管理、艺术设计、摄影摄像等电子商务相关专业，但大部分企业反映，电子商务专业人才依旧短缺、难获取且难留下。同时，电子商务人才层次水平不高，从业人员的学历以高中、大专为主，本科较少，研究生、博士生更为稀缺，企业电子商务从业人员基本没有经过专业培训，知识结构体系不完整，经验普遍不足。此外，现有电子商务从业人员以客服、美工、活动策划人员等基础实操性人员为主，缺乏电子商务高端的技术、管理、营销、运营、设计等人才，导致企业不知如何利用电子商务进行产品营销与品牌提升，电子商务开展停留在低端状态。</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（7）专业物流人才匮乏</w:t>
      </w:r>
    </w:p>
    <w:p>
      <w:pPr>
        <w:snapToGrid w:val="0"/>
        <w:spacing w:before="0" w:after="0" w:line="360" w:lineRule="auto"/>
        <w:ind w:left="0" w:firstLine="560" w:firstLineChars="200"/>
        <w:jc w:val="left"/>
        <w:rPr>
          <w:color w:val="000000" w:themeColor="text1"/>
        </w:rPr>
      </w:pPr>
      <w:r>
        <w:rPr>
          <w:rFonts w:hint="eastAsia"/>
          <w:color w:val="000000" w:themeColor="text1"/>
          <w:kern w:val="0"/>
          <w:sz w:val="28"/>
        </w:rPr>
        <w:t>通过走访快递企业农村网点了解到农村快递工作人员入门门槛低，大多为 35到50岁不等的当地居民，学历往往在初、高中。配送员素质偏低，对包裹随意抛、丢的行为时有发生。任职人员没有相关资格证书，企业也缺少专业培训，很少有人了解整体快递物流流程。受城乡二元体制的遗留问题，农村生活水平仍然较低，让人才留在农村难度依然较大，所以短期内，农村物流在人才方面缺口还是很大。台商投资区农村物流企业存在从业人员的基本素质不高，缺乏专业人员、人才少等问题。</w:t>
      </w:r>
      <w:r>
        <w:rPr>
          <w:rFonts w:ascii="Times New Roman" w:hAnsi="Times New Roman"/>
          <w:b/>
          <w:bCs/>
          <w:color w:val="000000" w:themeColor="text1"/>
          <w:kern w:val="44"/>
          <w:sz w:val="44"/>
          <w:szCs w:val="44"/>
        </w:rPr>
        <w:br w:type="page"/>
      </w:r>
    </w:p>
    <w:p>
      <w:pPr>
        <w:keepNext/>
        <w:keepLines/>
        <w:numPr>
          <w:ilvl w:val="0"/>
          <w:numId w:val="2"/>
        </w:numPr>
        <w:spacing w:line="576" w:lineRule="auto"/>
        <w:ind w:left="0" w:firstLine="0"/>
        <w:jc w:val="center"/>
        <w:outlineLvl w:val="0"/>
        <w:rPr>
          <w:rFonts w:ascii="黑体" w:hAnsi="黑体" w:eastAsia="黑体"/>
          <w:bCs/>
          <w:color w:val="000000" w:themeColor="text1"/>
          <w:kern w:val="44"/>
          <w:sz w:val="44"/>
          <w:szCs w:val="44"/>
        </w:rPr>
      </w:pPr>
      <w:bookmarkStart w:id="17" w:name="_Toc528526451"/>
      <w:r>
        <w:rPr>
          <w:rFonts w:hint="eastAsia" w:ascii="黑体" w:hAnsi="黑体" w:eastAsia="黑体"/>
          <w:bCs/>
          <w:color w:val="000000" w:themeColor="text1"/>
          <w:kern w:val="44"/>
          <w:sz w:val="44"/>
          <w:szCs w:val="44"/>
        </w:rPr>
        <w:t>泉州台商投资区农村物流网络体系规划方案</w:t>
      </w:r>
      <w:bookmarkEnd w:id="17"/>
    </w:p>
    <w:p>
      <w:pPr>
        <w:pStyle w:val="3"/>
        <w:numPr>
          <w:ilvl w:val="1"/>
          <w:numId w:val="2"/>
        </w:numPr>
        <w:ind w:left="783"/>
        <w:jc w:val="left"/>
        <w:rPr>
          <w:rFonts w:ascii="Times New Roman" w:hAnsi="Times New Roman"/>
          <w:color w:val="000000" w:themeColor="text1"/>
        </w:rPr>
      </w:pPr>
      <w:bookmarkStart w:id="18" w:name="_Toc528526452"/>
      <w:r>
        <w:rPr>
          <w:rFonts w:hint="eastAsia" w:ascii="Times New Roman" w:hAnsi="Times New Roman"/>
          <w:color w:val="000000" w:themeColor="text1"/>
        </w:rPr>
        <w:t>农村物流网络的组成要素</w:t>
      </w:r>
      <w:bookmarkEnd w:id="18"/>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农村物流网络的诸多要素之间的关系是相互联系、相互制约、错综复杂的，从目前来看，农村物流网络主要有以下几个要素构成：</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农村物流基础设施。农村物流基础设施主要有各类农村物流节点（如农村物流中心、货运场站、分拨中心）和运输网络有机形成的农村物流运营基础，主要包括仓储、货运场站、配送中心、农贸市场等，它们是农村物流运作的基础条件。</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农村物流装备。装备设施是农村物流发展运营的必须物质条件，它主要包括货物装卸设备、运输车辆、仓库、加工包装设备以及物流信息平台等要素构成，物流设施装备的水平是决定农村物流运作效率的关键。</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农村物流信息。农村物流信息是农村物流高效、快捷、准时的关键，农村物流信息主要包括行业发展政策、运输信息、仓储信息、配送中心信息、生产信息等。信息的畅通，能有效地剌激和引导农村物流的发展，降低农村物流成本，提高物流效率。</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（4）农村物流人才。人才是农村物流得以运作的关键因素。农村物流的发展需要人才对整个物流网络进行合理规划、设计、实施，人的具体活动是农村物流网络体系运营的关键。</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5）农村物流发展政策。农村物流的发展相对比较落后，物流基础设施薄弱，因此农村物流发展政策是保障农村物流健康快速发展的重要保障，包括良好的投资环境及运营环境，合理的市场准入制及监管机制等。</w:t>
      </w:r>
    </w:p>
    <w:p>
      <w:pPr>
        <w:pStyle w:val="3"/>
        <w:numPr>
          <w:ilvl w:val="1"/>
          <w:numId w:val="2"/>
        </w:numPr>
        <w:ind w:left="783"/>
        <w:jc w:val="left"/>
        <w:rPr>
          <w:rFonts w:ascii="Times New Roman" w:hAnsi="Times New Roman"/>
          <w:color w:val="000000" w:themeColor="text1"/>
        </w:rPr>
      </w:pPr>
      <w:bookmarkStart w:id="19" w:name="_Toc528526453"/>
      <w:r>
        <w:rPr>
          <w:rFonts w:hint="eastAsia" w:ascii="Times New Roman" w:hAnsi="Times New Roman"/>
          <w:color w:val="000000" w:themeColor="text1"/>
        </w:rPr>
        <w:t>农村物流网络规划原则</w:t>
      </w:r>
      <w:bookmarkEnd w:id="19"/>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（1）资源整合原则。按照“资源共享、多站合一、功能集中、节约高效”的要求，加快促进交通、邮政、农业、供销、商务等部门现有节点资源衔接共享，合理规划布局向全社会开放的公共物流网络节点体系。</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因地制宜原则。要注重地区之间的差异，坚持需求导向、立足实际，在基本物流服务功能的基础上，结合当地资源禀赋、自然条件、产业特点，围绕农村物流发展的实际需求，规划建设各具特色、模式多样的节点体系，适应并有效支撑当地农村物流的快速发展。</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城乡一体原则。统筹城乡物流发展和规划，加强与物流园区（货运枢纽）、全国重点农产品、农资、农村消费品集散中心（基地）、邮件和快件处理中心等的有效衔接，实现农村物流网络节点体系与全国干线物流网络的全面融合。</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统一布局原则。要全面分析农村物流发展现状、需求特征和发展趋势，综合考虑区乡村行政区划结构形态和面积、产业布局、人口分布、对外交通、货物流向、现有节点资源等因素，统筹确定农村物流网络节点布局的数量、类型、规模和功能。</w:t>
      </w:r>
    </w:p>
    <w:p>
      <w:pPr>
        <w:pStyle w:val="3"/>
        <w:numPr>
          <w:ilvl w:val="1"/>
          <w:numId w:val="2"/>
        </w:numPr>
        <w:ind w:left="783"/>
        <w:jc w:val="left"/>
        <w:rPr>
          <w:rFonts w:ascii="Times New Roman" w:hAnsi="Times New Roman"/>
          <w:color w:val="000000" w:themeColor="text1"/>
        </w:rPr>
      </w:pPr>
      <w:bookmarkStart w:id="20" w:name="_Toc528526454"/>
      <w:r>
        <w:rPr>
          <w:rFonts w:hint="eastAsia" w:ascii="Times New Roman" w:hAnsi="Times New Roman"/>
          <w:color w:val="000000" w:themeColor="text1"/>
        </w:rPr>
        <w:t>农村物流网络体系发展目标</w:t>
      </w:r>
      <w:bookmarkEnd w:id="20"/>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泉州台商投资区农村物流网络建设以资源整合为主线，按照《农村物流网络节点体系建设指南》的要求，充分发挥交通运输、商务、供销、农业、邮政等各部门、各行业的管理和资源优势，推动站场网络、运输配送、信息体系和经营主体融合发展，形成“区级—乡镇—建制村”的三级网络构架，推进区级农村物流中心、乡镇农村物流服务站、村级农村物流服务点三个层级一体化发展。</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泉州台商投资区常住人口为25.6万人，面积约200平方公里，可推算出泉州台商投资区的人口密度为1280人每平方公里，可以推算出网点的服务半径，再根据服务半径推算泉州台商投资区的网点数量。但是由于农村物流的特殊性，不能靠理论去计算实际的网点数量。人口的分散、配送效率的低下，以及2019-2025年快递业务量的预测结果，和各村的常住人口数，并根据《农村物流网络体系建设指南》，去设置村级农村物流服务点。</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规划目标为：2020年完成1个区级农村物流中心、4个乡镇农村物流服务站、78个农村物流服务点的融合改造；2025年完成49个农村物流服务点的融合改造，全面实现“区—乡镇—建制村”的三级农村物流网络架构，形成城乡一体化的物流服务体系。具体见表3-1。</w:t>
      </w:r>
    </w:p>
    <w:p>
      <w:pPr>
        <w:widowControl/>
        <w:spacing w:line="240" w:lineRule="auto"/>
        <w:ind w:firstLine="0"/>
        <w:jc w:val="center"/>
        <w:rPr>
          <w:rFonts w:ascii="Times New Roman" w:hAnsi="Times New Roman"/>
          <w:b/>
          <w:bCs/>
          <w:color w:val="000000" w:themeColor="text1"/>
          <w:kern w:val="0"/>
          <w:sz w:val="24"/>
          <w:szCs w:val="18"/>
        </w:rPr>
      </w:pPr>
    </w:p>
    <w:p>
      <w:pPr>
        <w:widowControl/>
        <w:spacing w:line="240" w:lineRule="auto"/>
        <w:ind w:firstLine="0"/>
        <w:jc w:val="center"/>
        <w:rPr>
          <w:rFonts w:ascii="Times New Roman" w:hAnsi="Times New Roman"/>
          <w:b/>
          <w:bCs/>
          <w:color w:val="000000" w:themeColor="text1"/>
          <w:kern w:val="0"/>
          <w:sz w:val="24"/>
          <w:szCs w:val="18"/>
        </w:rPr>
      </w:pPr>
    </w:p>
    <w:p>
      <w:pPr>
        <w:widowControl/>
        <w:spacing w:line="240" w:lineRule="auto"/>
        <w:ind w:firstLine="0"/>
        <w:jc w:val="center"/>
        <w:rPr>
          <w:rFonts w:ascii="Times New Roman" w:hAnsi="Times New Roman"/>
          <w:b/>
          <w:bCs/>
          <w:color w:val="000000" w:themeColor="text1"/>
          <w:kern w:val="0"/>
          <w:sz w:val="24"/>
          <w:szCs w:val="18"/>
        </w:rPr>
      </w:pPr>
    </w:p>
    <w:p>
      <w:pPr>
        <w:widowControl/>
        <w:spacing w:line="240" w:lineRule="auto"/>
        <w:ind w:firstLine="0"/>
        <w:jc w:val="center"/>
        <w:rPr>
          <w:color w:val="000000" w:themeColor="text1"/>
          <w:sz w:val="24"/>
          <w:szCs w:val="24"/>
        </w:rPr>
      </w:pPr>
      <w:r>
        <w:rPr>
          <w:rFonts w:hint="eastAsia" w:ascii="Times New Roman" w:hAnsi="Times New Roman"/>
          <w:b/>
          <w:bCs/>
          <w:color w:val="000000" w:themeColor="text1"/>
          <w:kern w:val="0"/>
          <w:sz w:val="24"/>
          <w:szCs w:val="18"/>
        </w:rPr>
        <w:t>表3-1  规划目标</w:t>
      </w:r>
    </w:p>
    <w:tbl>
      <w:tblPr>
        <w:tblStyle w:val="18"/>
        <w:tblW w:w="81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8"/>
        <w:gridCol w:w="6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8" w:hRule="atLeast"/>
          <w:jc w:val="center"/>
        </w:trPr>
        <w:tc>
          <w:tcPr>
            <w:tcW w:w="1888" w:type="dxa"/>
            <w:shd w:val="clear" w:color="auto" w:fill="FFFFFF"/>
            <w:tcMar>
              <w:top w:w="15" w:type="dxa"/>
              <w:left w:w="15" w:type="dxa"/>
              <w:bottom w:w="0" w:type="dxa"/>
              <w:right w:w="15" w:type="dxa"/>
            </w:tcMar>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年度</w:t>
            </w:r>
          </w:p>
        </w:tc>
        <w:tc>
          <w:tcPr>
            <w:tcW w:w="6311" w:type="dxa"/>
            <w:shd w:val="clear" w:color="auto" w:fill="FFFFFF"/>
            <w:tcMar>
              <w:top w:w="15" w:type="dxa"/>
              <w:left w:w="142" w:type="dxa"/>
              <w:bottom w:w="0" w:type="dxa"/>
              <w:right w:w="142" w:type="dxa"/>
            </w:tcMar>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规划目标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26" w:hRule="atLeast"/>
          <w:jc w:val="center"/>
        </w:trPr>
        <w:tc>
          <w:tcPr>
            <w:tcW w:w="1888" w:type="dxa"/>
            <w:shd w:val="clear" w:color="auto" w:fill="FFFFFF"/>
            <w:tcMar>
              <w:top w:w="15" w:type="dxa"/>
              <w:left w:w="15" w:type="dxa"/>
              <w:bottom w:w="0" w:type="dxa"/>
              <w:right w:w="15" w:type="dxa"/>
            </w:tcMar>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2019-2020年</w:t>
            </w:r>
          </w:p>
        </w:tc>
        <w:tc>
          <w:tcPr>
            <w:tcW w:w="6311" w:type="dxa"/>
            <w:shd w:val="clear" w:color="auto" w:fill="FFFFFF"/>
            <w:tcMar>
              <w:top w:w="15" w:type="dxa"/>
              <w:left w:w="142" w:type="dxa"/>
              <w:bottom w:w="0" w:type="dxa"/>
              <w:right w:w="142" w:type="dxa"/>
            </w:tcMar>
            <w:vAlign w:val="center"/>
          </w:tcPr>
          <w:p>
            <w:pPr>
              <w:numPr>
                <w:ilvl w:val="0"/>
                <w:numId w:val="3"/>
              </w:num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区级农村物流中心：依托泉州台商投资区丰树东南产业物流园，设立泉州台商投资区农村物流公共服务运营中心，引导快递企业、物流货运公司入驻园区。</w:t>
            </w:r>
          </w:p>
          <w:p>
            <w:pPr>
              <w:numPr>
                <w:ilvl w:val="0"/>
                <w:numId w:val="3"/>
              </w:num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乡镇农村物流服务站：依托四级、五级客运站，设立乡镇农村物流服务站，具体为：洛阳镇、东园镇、张坂镇和百崎回族乡等4个乡镇。</w:t>
            </w:r>
          </w:p>
          <w:p>
            <w:pPr>
              <w:numPr>
                <w:ilvl w:val="0"/>
                <w:numId w:val="3"/>
              </w:num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农村物流服务点：以4个乡镇农村物流服务站为中心，以客运班线、客运班车为载体，利用村邮站设立村级农村物流服务点，增加乡镇至村的物流路线。完成78个村级物流服务点的建设。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8" w:hRule="atLeast"/>
          <w:jc w:val="center"/>
        </w:trPr>
        <w:tc>
          <w:tcPr>
            <w:tcW w:w="1888" w:type="dxa"/>
            <w:shd w:val="clear" w:color="auto" w:fill="FFFFFF"/>
            <w:tcMar>
              <w:top w:w="15" w:type="dxa"/>
              <w:left w:w="15" w:type="dxa"/>
              <w:bottom w:w="0" w:type="dxa"/>
              <w:right w:w="15" w:type="dxa"/>
            </w:tcMar>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2021-2025年</w:t>
            </w:r>
          </w:p>
        </w:tc>
        <w:tc>
          <w:tcPr>
            <w:tcW w:w="6311" w:type="dxa"/>
            <w:shd w:val="clear" w:color="auto" w:fill="FFFFFF"/>
            <w:tcMar>
              <w:top w:w="15" w:type="dxa"/>
              <w:left w:w="142" w:type="dxa"/>
              <w:bottom w:w="0" w:type="dxa"/>
              <w:right w:w="142" w:type="dxa"/>
            </w:tcMar>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农村物流服务点：鼓励快递企业扩大配送覆盖范围，对城区周边乡镇直接配送至村邮站，结合每个村的常住人口数，以及2021年-2025年的快递业务量，利用村邮站设立村级农村物流服务点，完成49村级物流服务点的建设。</w:t>
            </w:r>
          </w:p>
        </w:tc>
      </w:tr>
    </w:tbl>
    <w:p>
      <w:pPr>
        <w:pStyle w:val="3"/>
        <w:numPr>
          <w:ilvl w:val="1"/>
          <w:numId w:val="2"/>
        </w:numPr>
        <w:ind w:left="783"/>
        <w:jc w:val="left"/>
        <w:rPr>
          <w:rFonts w:ascii="Times New Roman" w:hAnsi="Times New Roman"/>
          <w:color w:val="000000" w:themeColor="text1"/>
        </w:rPr>
      </w:pPr>
      <w:bookmarkStart w:id="21" w:name="_Toc528526455"/>
      <w:r>
        <w:rPr>
          <w:rFonts w:hint="eastAsia" w:ascii="Times New Roman" w:hAnsi="Times New Roman"/>
          <w:color w:val="000000" w:themeColor="text1"/>
        </w:rPr>
        <w:t>整体规划</w:t>
      </w:r>
      <w:bookmarkEnd w:id="21"/>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物流节点以及信息网络进行有效的衔接和关联，是现代农村物流发展的综合体。在市场经济条件下，物流网络效率的高低、功能强弱直接关系到当地农村经济、社会和技术的发展。因此，构筑结构合理、功能完善、合理顺畅的农村物流网络，对于泉州台商投资区农村物流的发展有着至关重要的意义。</w:t>
      </w:r>
    </w:p>
    <w:p>
      <w:pPr>
        <w:ind w:left="0" w:firstLine="0"/>
        <w:rPr>
          <w:rFonts w:ascii="宋体" w:hAnsi="宋体"/>
          <w:b/>
          <w:bCs/>
          <w:color w:val="000000" w:themeColor="text1"/>
          <w:sz w:val="28"/>
          <w:szCs w:val="28"/>
        </w:rPr>
      </w:pPr>
    </w:p>
    <w:p>
      <w:pPr>
        <w:rPr>
          <w:rFonts w:ascii="宋体" w:hAnsi="宋体"/>
          <w:b/>
          <w:bCs/>
          <w:color w:val="000000" w:themeColor="text1"/>
          <w:sz w:val="28"/>
          <w:szCs w:val="28"/>
        </w:rPr>
      </w:pPr>
      <w:r>
        <w:rPr>
          <w:rFonts w:ascii="宋体" w:hAnsi="宋体"/>
          <w:b/>
          <w:bCs/>
          <w:color w:val="000000" w:themeColor="text1"/>
          <w:sz w:val="28"/>
          <w:szCs w:val="28"/>
        </w:rPr>
        <w:pict>
          <v:group id="_x0000_s1386" o:spid="_x0000_s1386" o:spt="203" style="position:absolute;left:0pt;margin-left:-20.35pt;margin-top:-12pt;height:662.45pt;width:515.95pt;z-index:251676672;mso-width-relative:page;mso-height-relative:page;" coordorigin="1334,1924" coordsize="10319,13249">
            <o:lock v:ext="edit"/>
            <v:shape id="_x0000_s1387" o:spid="_x0000_s1387" o:spt="34" type="#_x0000_t34" style="position:absolute;left:3033;top:8372;height:18;width:820;rotation:5898240f;" filled="f" stroked="t" coordsize="21600,21600" o:gfxdata="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L4u7sAAADb&#10;AAAADwAAAAAAAAABACAAAAAiAAAAZHJzL2Rvd25yZXYueG1sUEsBAhQAFAAAAAgAh07iQDMvBZ47&#10;AAAAOQAAABAAAAAAAAAAAQAgAAAACgEAAGRycy9zaGFwZXhtbC54bWxQSwUGAAAAAAYABgBbAQAA&#10;tAMAAAAA&#10;" adj=",-8955600,-90931">
              <v:path arrowok="t"/>
              <v:fill on="f" focussize="0,0"/>
              <v:stroke weight="0.5pt" color="#000000 [3213]" endarrow="block"/>
              <v:imagedata o:title=""/>
              <o:lock v:ext="edit"/>
            </v:shape>
            <v:shape id="_x0000_s1388" o:spid="_x0000_s1388" o:spt="32" type="#_x0000_t32" style="position:absolute;left:9730;top:7983;height:862;width:10;" filled="f" stroked="t" coordsize="21600,21600" o:gfxdata="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BmzLsAAADb&#10;AAAADwAAAAAAAAABACAAAAAiAAAAZHJzL2Rvd25yZXYueG1sUEsBAhQAFAAAAAgAh07iQDMvBZ47&#10;AAAAOQAAABAAAAAAAAAAAQAgAAAACgEAAGRycy9zaGFwZXhtbC54bWxQSwUGAAAAAAYABgBbAQAA&#10;tAMAAAAA&#10;">
              <v:path arrowok="t"/>
              <v:fill on="f" focussize="0,0"/>
              <v:stroke weight="0.5pt" color="#000000 [3213]" joinstyle="miter" endarrow="block"/>
              <v:imagedata o:title=""/>
              <o:lock v:ext="edit"/>
            </v:shape>
            <v:roundrect id="矩形: 圆角 1" o:spid="_x0000_s1389" o:spt="2" style="position:absolute;left:4553;top:1924;height:2085;width:3862;v-text-anchor:middle;" filled="f" stroked="t" coordsize="21600,21600" arcsize="0.166666666666667" o:gfxdata="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uJmS5AAAA2gAA&#10;AA8AAAAAAAAAAQAgAAAAIgAAAGRycy9kb3ducmV2LnhtbFBLAQIUABQAAAAIAIdO4kAzLwWeOwAA&#10;ADkAAAAQAAAAAAAAAAEAIAAAAAgBAABkcnMvc2hhcGV4bWwueG1sUEsFBgAAAAAGAAYAWwEAALID&#10;AAAAAA==&#10;">
              <v:path/>
              <v:fill on="f" focussize="0,0"/>
              <v:stroke weight="1pt" color="#000000 [3213]" joinstyle="miter"/>
              <v:imagedata o:title=""/>
              <o:lock v:ext="edit"/>
              <v:textbox>
                <w:txbxContent>
                  <w:p>
                    <w:pPr>
                      <w:ind w:left="0" w:firstLine="0"/>
                      <w:rPr>
                        <w:color w:val="000000" w:themeColor="text1"/>
                      </w:rPr>
                    </w:pPr>
                    <w:bookmarkStart w:id="160" w:name="_Hlk526373608"/>
                    <w:bookmarkStart w:id="161" w:name="_Hlk526373609"/>
                    <w:r>
                      <w:rPr>
                        <w:rFonts w:hint="eastAsia"/>
                        <w:color w:val="000000" w:themeColor="text1"/>
                      </w:rPr>
                      <w:t>泉州台商投资区农村物流网络体系</w:t>
                    </w:r>
                  </w:p>
                  <w:p>
                    <w:pPr>
                      <w:ind w:left="0" w:firstLine="0"/>
                      <w:jc w:val="center"/>
                      <w:rPr>
                        <w:color w:val="000000" w:themeColor="text1"/>
                      </w:rPr>
                    </w:pPr>
                    <w:r>
                      <w:rPr>
                        <w:rFonts w:hint="eastAsia"/>
                        <w:color w:val="000000" w:themeColor="text1"/>
                      </w:rPr>
                      <w:t>规划框架</w:t>
                    </w:r>
                    <w:bookmarkEnd w:id="160"/>
                    <w:bookmarkEnd w:id="161"/>
                  </w:p>
                </w:txbxContent>
              </v:textbox>
            </v:roundrect>
            <v:roundrect id="矩形: 圆角 4" o:spid="_x0000_s1390" o:spt="2" style="position:absolute;left:4945;top:4304;height:1145;width:2761;v-text-anchor:middle;" filled="f" stroked="t" coordsize="21600,21600" arcsize="0.166666666666667" o:gfxdata="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Zhfy8AAAA&#10;2gAAAA8AAAAAAAAAAQAgAAAAIgAAAGRycy9kb3ducmV2LnhtbFBLAQIUABQAAAAIAIdO4kAzLwWe&#10;OwAAADkAAAAQAAAAAAAAAAEAIAAAAAsBAABkcnMvc2hhcGV4bWwueG1sUEsFBgAAAAAGAAYAWwEA&#10;ALUDAAAAAA==&#10;">
              <v:path/>
              <v:fill on="f" focussize="0,0"/>
              <v:stroke weight="1pt" color="#000000 [3213]" joinstyle="miter"/>
              <v:imagedata o:title=""/>
              <o:lock v:ext="edit"/>
              <v:textbox>
                <w:txbxContent>
                  <w:p>
                    <w:pPr>
                      <w:jc w:val="center"/>
                      <w:rPr>
                        <w:color w:val="000000" w:themeColor="text1"/>
                      </w:rPr>
                    </w:pPr>
                    <w:r>
                      <w:rPr>
                        <w:rFonts w:hint="eastAsia"/>
                        <w:color w:val="000000" w:themeColor="text1"/>
                      </w:rPr>
                      <w:t>道路运输网络</w:t>
                    </w:r>
                  </w:p>
                </w:txbxContent>
              </v:textbox>
            </v:roundrect>
            <v:roundrect id="矩形: 圆角 5" o:spid="_x0000_s1391" o:spt="2" style="position:absolute;left:5019;top:6376;height:1145;width:2762;v-text-anchor:middle;" filled="f" stroked="t" coordsize="21600,21600" arcsize="0.166666666666667" o:gfxdata="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VIGe8AAAA&#10;2gAAAA8AAAAAAAAAAQAgAAAAIgAAAGRycy9kb3ducmV2LnhtbFBLAQIUABQAAAAIAIdO4kAzLwWe&#10;OwAAADkAAAAQAAAAAAAAAAEAIAAAAAsBAABkcnMvc2hhcGV4bWwueG1sUEsFBgAAAAAGAAYAWwEA&#10;ALUDAAAAAA==&#10;">
              <v:path/>
              <v:fill on="f" focussize="0,0"/>
              <v:stroke weight="1pt" color="#000000 [3213]" joinstyle="miter"/>
              <v:imagedata o:title=""/>
              <o:lock v:ext="edit"/>
              <v:textbox>
                <w:txbxContent>
                  <w:p>
                    <w:pPr>
                      <w:jc w:val="center"/>
                      <w:rPr>
                        <w:color w:val="000000" w:themeColor="text1"/>
                      </w:rPr>
                    </w:pPr>
                    <w:r>
                      <w:rPr>
                        <w:rFonts w:hint="eastAsia"/>
                        <w:color w:val="000000" w:themeColor="text1"/>
                      </w:rPr>
                      <w:t>农村物流网络节点</w:t>
                    </w:r>
                  </w:p>
                </w:txbxContent>
              </v:textbox>
            </v:roundrect>
            <v:shape id="_x0000_s1392" o:spid="_x0000_s1392" o:spt="3" type="#_x0000_t3" style="position:absolute;left:1978;top:8755;height:1764;width:2444;v-text-anchor:middle;" filled="f" stroked="t" coordsize="21600,21600" o:gfxdata="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FMgG8AAAA&#10;2gAAAA8AAAAAAAAAAQAgAAAAIgAAAGRycy9kb3ducmV2LnhtbFBLAQIUABQAAAAIAIdO4kAzLwWe&#10;OwAAADkAAAAQAAAAAAAAAAEAIAAAAAsBAABkcnMvc2hhcGV4bWwueG1sUEsFBgAAAAAGAAYAWwEA&#10;ALUDAAAAAA==&#10;">
              <v:path/>
              <v:fill on="f" focussize="0,0"/>
              <v:stroke weight="1pt" color="#000000 [3213]" joinstyle="miter"/>
              <v:imagedata o:title=""/>
              <o:lock v:ext="edit"/>
              <v:textbox>
                <w:txbxContent>
                  <w:p>
                    <w:pPr>
                      <w:rPr>
                        <w:color w:val="000000" w:themeColor="text1"/>
                      </w:rPr>
                    </w:pPr>
                    <w:r>
                      <w:rPr>
                        <w:rFonts w:hint="eastAsia"/>
                        <w:color w:val="000000" w:themeColor="text1"/>
                      </w:rPr>
                      <w:t>区级农村物流中中心</w:t>
                    </w:r>
                  </w:p>
                  <w:p>
                    <w:pPr>
                      <w:jc w:val="center"/>
                      <w:rPr>
                        <w:color w:val="000000" w:themeColor="text1"/>
                      </w:rPr>
                    </w:pPr>
                    <w:r>
                      <w:rPr>
                        <w:rFonts w:hint="eastAsia"/>
                        <w:color w:val="000000" w:themeColor="text1"/>
                      </w:rPr>
                      <w:t>物流中心</w:t>
                    </w:r>
                  </w:p>
                </w:txbxContent>
              </v:textbox>
            </v:shape>
            <v:shape id="_x0000_s1393" o:spid="_x0000_s1393" o:spt="3" type="#_x0000_t3" style="position:absolute;left:5131;top:8884;height:1842;width:2445;v-text-anchor:middle;" filled="f" coordsize="21600,21600" o:gfxdata="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SZeavQAA&#10;ANoAAAAPAAAAAAAAAAEAIAAAACIAAABkcnMvZG93bnJldi54bWxQSwECFAAUAAAACACHTuJAMy8F&#10;njsAAAA5AAAAEAAAAAAAAAABACAAAAAMAQAAZHJzL3NoYXBleG1sLnhtbFBLBQYAAAAABgAGAFsB&#10;AAC2AwAAAAA=&#10;">
              <v:path/>
              <v:fill on="f" focussize="0,0"/>
              <v:stroke weight="1pt" joinstyle="miter"/>
              <v:imagedata o:title=""/>
              <o:lock v:ext="edit"/>
              <v:textbox>
                <w:txbxContent>
                  <w:p>
                    <w:pPr>
                      <w:ind w:left="0" w:firstLine="0"/>
                      <w:jc w:val="center"/>
                      <w:rPr>
                        <w:color w:val="000000" w:themeColor="text1"/>
                      </w:rPr>
                    </w:pPr>
                    <w:r>
                      <w:rPr>
                        <w:rFonts w:hint="eastAsia"/>
                        <w:color w:val="000000" w:themeColor="text1"/>
                      </w:rPr>
                      <w:t>乡镇农村物流服务站</w:t>
                    </w:r>
                  </w:p>
                </w:txbxContent>
              </v:textbox>
            </v:shape>
            <v:shape id="_x0000_s1394" o:spid="_x0000_s1394" o:spt="3" type="#_x0000_t3" style="position:absolute;left:8537;top:8845;height:1788;width:2444;v-text-anchor:middle;" filled="f" coordsize="21600,21600" o:gfxdata="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1gPougAAANoA&#10;AAAPAAAAAAAAAAEAIAAAACIAAABkcnMvZG93bnJldi54bWxQSwECFAAUAAAACACHTuJAMy8FnjsA&#10;AAA5AAAAEAAAAAAAAAABACAAAAAJAQAAZHJzL3NoYXBleG1sLnhtbFBLBQYAAAAABgAGAFsBAACz&#10;AwAAAAA=&#10;">
              <v:path/>
              <v:fill on="f" focussize="0,0"/>
              <v:stroke weight="1pt" joinstyle="miter"/>
              <v:imagedata o:title=""/>
              <o:lock v:ext="edit"/>
              <v:textbox>
                <w:txbxContent>
                  <w:p>
                    <w:pPr>
                      <w:rPr>
                        <w:color w:val="000000" w:themeColor="text1"/>
                      </w:rPr>
                    </w:pPr>
                    <w:r>
                      <w:rPr>
                        <w:rFonts w:hint="eastAsia"/>
                        <w:color w:val="000000" w:themeColor="text1"/>
                      </w:rPr>
                      <w:t>村级农村物流服务点</w:t>
                    </w:r>
                  </w:p>
                </w:txbxContent>
              </v:textbox>
            </v:shape>
            <v:shape id="_x0000_s1395" o:spid="_x0000_s1395" o:spt="32" type="#_x0000_t32" style="position:absolute;left:4441;top:9539;height:26;width:709;" filled="f" stroked="t" coordsize="21600,21600" o:gfxdata="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SO77sAAADa&#10;AAAADwAAAAAAAAABACAAAAAiAAAAZHJzL2Rvd25yZXYueG1sUEsBAhQAFAAAAAgAh07iQDMvBZ47&#10;AAAAOQAAABAAAAAAAAAAAQAgAAAACgEAAGRycy9zaGFwZXhtbC54bWxQSwUGAAAAAAYABgBbAQAA&#10;tAMAAAAA&#10;">
              <v:path arrowok="t"/>
              <v:fill on="f" focussize="0,0"/>
              <v:stroke weight="0.5pt" color="#000000 [3213]" joinstyle="miter" endarrow="block"/>
              <v:imagedata o:title=""/>
              <o:lock v:ext="edit"/>
            </v:shape>
            <v:shape id="_x0000_s1396" o:spid="_x0000_s1396" o:spt="32" type="#_x0000_t32" style="position:absolute;left:7576;top:9667;height:0;width:943;" filled="f" stroked="t" coordsize="21600,21600" o:gfxdata="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7YM+8AAAA&#10;2wAAAA8AAAAAAAAAAQAgAAAAIgAAAGRycy9kb3ducmV2LnhtbFBLAQIUABQAAAAIAIdO4kAzLwWe&#10;OwAAADkAAAAQAAAAAAAAAAEAIAAAAAsBAABkcnMvc2hhcGV4bWwueG1sUEsFBgAAAAAGAAYAWwEA&#10;ALUDAAAAAA==&#10;">
              <v:path arrowok="t"/>
              <v:fill on="f" focussize="0,0"/>
              <v:stroke weight="0.5pt" color="#000000 [3213]" joinstyle="miter" endarrow="block"/>
              <v:imagedata o:title=""/>
              <o:lock v:ext="edit"/>
            </v:shape>
            <v:shape id="_x0000_s1397" o:spid="_x0000_s1397" o:spt="32" type="#_x0000_t32" style="position:absolute;left:6372;top:7545;height:1351;width:0;" filled="f" stroked="t" coordsize="21600,21600" o:gfxdata="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lWyO5AAAA2wAA&#10;AA8AAAAAAAAAAQAgAAAAIgAAAGRycy9kb3ducmV2LnhtbFBLAQIUABQAAAAIAIdO4kAzLwWeOwAA&#10;ADkAAAAQAAAAAAAAAAEAIAAAAAgBAABkcnMvc2hhcGV4bWwueG1sUEsFBgAAAAAGAAYAWwEAALID&#10;AAAAAA==&#10;">
              <v:path arrowok="t"/>
              <v:fill on="f" focussize="0,0"/>
              <v:stroke weight="0.5pt" color="#000000 [3213]" joinstyle="miter" endarrow="block"/>
              <v:imagedata o:title=""/>
              <o:lock v:ext="edit"/>
            </v:shape>
            <v:line id="_x0000_s1398" o:spid="_x0000_s1398" o:spt="20" style="position:absolute;left:3452;top:7971;height:0;width:6288;" stroked="t" coordsize="21600,21600" o:gfxdata="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YTTvQAA&#10;ANsAAAAPAAAAAAAAAAEAIAAAACIAAABkcnMvZG93bnJldi54bWxQSwECFAAUAAAACACHTuJAMy8F&#10;njsAAAA5AAAAEAAAAAAAAAABACAAAAAMAQAAZHJzL3NoYXBleG1sLnhtbFBLBQYAAAAABgAGAFsB&#10;AAC2AwAAAAA=&#10;">
              <v:path arrowok="t"/>
              <v:fill focussize="0,0"/>
              <v:stroke weight="0.5pt" color="#000000 [3213]" joinstyle="miter"/>
              <v:imagedata o:title=""/>
              <o:lock v:ext="edit"/>
            </v:line>
            <v:shape id="_x0000_s1399" o:spid="_x0000_s1399" o:spt="32" type="#_x0000_t32" style="position:absolute;left:6326;top:5450;height:902;width:0;" filled="f" stroked="t" coordsize="21600,21600" o:gfxdata="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5W+vQAA&#10;ANsAAAAPAAAAAAAAAAEAIAAAACIAAABkcnMvZG93bnJldi54bWxQSwECFAAUAAAACACHTuJAMy8F&#10;njsAAAA5AAAAEAAAAAAAAAABACAAAAAMAQAAZHJzL3NoYXBleG1sLnhtbFBLBQYAAAAABgAGAFsB&#10;AAC2AwAAAAA=&#10;">
              <v:path arrowok="t"/>
              <v:fill on="f" focussize="0,0"/>
              <v:stroke weight="0.5pt" color="#000000 [3213]" joinstyle="miter" startarrow="block" endarrow="block"/>
              <v:imagedata o:title=""/>
              <o:lock v:ext="edit"/>
            </v:shape>
            <v:roundrect id="矩形: 圆角 19" o:spid="_x0000_s1400" o:spt="2" style="position:absolute;left:5094;top:11508;height:1144;width:2762;v-text-anchor:middle;" filled="f" coordsize="21600,21600" arcsize="0.166666666666667" o:gfxdata="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RBArsAAADb&#10;AAAADwAAAAAAAAABACAAAAAiAAAAZHJzL2Rvd25yZXYueG1sUEsBAhQAFAAAAAgAh07iQDMvBZ47&#10;AAAAOQAAABAAAAAAAAAAAQAgAAAACgEAAGRycy9zaGFwZXhtbC54bWxQSwUGAAAAAAYABgBbAQAA&#10;tAMAAAAA&#10;">
              <v:path/>
              <v:fill on="f" focussize="0,0"/>
              <v:stroke weight="1pt" joinstyle="miter"/>
              <v:imagedata o:title=""/>
              <o:lock v:ext="edit"/>
              <v:textbox>
                <w:txbxContent>
                  <w:p>
                    <w:pPr>
                      <w:jc w:val="center"/>
                      <w:rPr>
                        <w:color w:val="000000" w:themeColor="text1"/>
                      </w:rPr>
                    </w:pPr>
                    <w:r>
                      <w:rPr>
                        <w:rFonts w:hint="eastAsia"/>
                        <w:color w:val="000000" w:themeColor="text1"/>
                      </w:rPr>
                      <w:t>农村物流信息网络</w:t>
                    </w:r>
                  </w:p>
                </w:txbxContent>
              </v:textbox>
            </v:roundrect>
            <v:line id="_x0000_s1401" o:spid="_x0000_s1401" o:spt="20" style="position:absolute;left:8415;top:2864;height:0;width:3210;" stroked="t" coordsize="21600,21600" o:gfxdata="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3WCvQAA&#10;ANsAAAAPAAAAAAAAAAEAIAAAACIAAABkcnMvZG93bnJldi54bWxQSwECFAAUAAAACACHTuJAMy8F&#10;njsAAAA5AAAAEAAAAAAAAAABACAAAAAMAQAAZHJzL3NoYXBleG1sLnhtbFBLBQYAAAAABgAGAFsB&#10;AAC2AwAAAAA=&#10;">
              <v:path arrowok="t"/>
              <v:fill focussize="0,0"/>
              <v:stroke weight="0.5pt" color="#000000 [3213]" joinstyle="miter"/>
              <v:imagedata o:title=""/>
              <o:lock v:ext="edit"/>
            </v:line>
            <v:line id="_x0000_s1402" o:spid="_x0000_s1402" o:spt="20" style="position:absolute;left:1371;top:2877;flip:x;height:0;width:3173;" stroked="t" coordsize="21600,21600" o:gfxdata="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RZv74A&#10;AADbAAAADwAAAAAAAAABACAAAAAiAAAAZHJzL2Rvd25yZXYueG1sUEsBAhQAFAAAAAgAh07iQDMv&#10;BZ47AAAAOQAAABAAAAAAAAAAAQAgAAAADQEAAGRycy9zaGFwZXhtbC54bWxQSwUGAAAAAAYABgBb&#10;AQAAtwMAAAAA&#10;">
              <v:path arrowok="t"/>
              <v:fill focussize="0,0"/>
              <v:stroke weight="0.5pt" color="#000000 [3213]" joinstyle="miter"/>
              <v:imagedata o:title=""/>
              <o:lock v:ext="edit"/>
            </v:line>
            <v:line id="_x0000_s1403" o:spid="_x0000_s1403" o:spt="20" style="position:absolute;left:1353;top:2890;height:10173;width:0;" stroked="t" coordsize="21600,21600" o:gfxdata="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U5uvQAA&#10;ANsAAAAPAAAAAAAAAAEAIAAAACIAAABkcnMvZG93bnJldi54bWxQSwECFAAUAAAACACHTuJAMy8F&#10;njsAAAA5AAAAEAAAAAAAAAABACAAAAAMAQAAZHJzL3NoYXBleG1sLnhtbFBLBQYAAAAABgAGAFsB&#10;AAC2AwAAAAA=&#10;">
              <v:path arrowok="t"/>
              <v:fill focussize="0,0"/>
              <v:stroke weight="0.5pt" color="#000000 [3213]" joinstyle="miter"/>
              <v:imagedata o:title=""/>
              <o:lock v:ext="edit"/>
            </v:line>
            <v:line id="_x0000_s1404" o:spid="_x0000_s1404" o:spt="20" style="position:absolute;left:1334;top:13037;height:0;width:10319;" stroked="t" coordsize="21600,21600" o:gfxdata="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7NYavQAA&#10;ANsAAAAPAAAAAAAAAAEAIAAAACIAAABkcnMvZG93bnJldi54bWxQSwECFAAUAAAACACHTuJAMy8F&#10;njsAAAA5AAAAEAAAAAAAAAABACAAAAAMAQAAZHJzL3NoYXBleG1sLnhtbFBLBQYAAAAABgAGAFsB&#10;AAC2AwAAAAA=&#10;">
              <v:path arrowok="t"/>
              <v:fill focussize="0,0"/>
              <v:stroke weight="0.5pt" color="#000000 [3213]" joinstyle="miter"/>
              <v:imagedata o:title=""/>
              <o:lock v:ext="edit"/>
            </v:line>
            <v:line id="_x0000_s1405" o:spid="_x0000_s1405" o:spt="20" style="position:absolute;left:11634;top:2851;flip:y;height:10199;width:0;" stroked="t" coordsize="21600,21600" o:gfxdata="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By74A&#10;AADbAAAADwAAAAAAAAABACAAAAAiAAAAZHJzL2Rvd25yZXYueG1sUEsBAhQAFAAAAAgAh07iQDMv&#10;BZ47AAAAOQAAABAAAAAAAAAAAQAgAAAADQEAAGRycy9zaGFwZXhtbC54bWxQSwUGAAAAAAYABgBb&#10;AQAAtwMAAAAA&#10;">
              <v:path arrowok="t"/>
              <v:fill focussize="0,0"/>
              <v:stroke weight="0.5pt" color="#000000 [3213]" joinstyle="miter"/>
              <v:imagedata o:title=""/>
              <o:lock v:ext="edit"/>
            </v:line>
            <v:line id="_x0000_s1406" o:spid="_x0000_s1406" o:spt="20" style="position:absolute;left:7856;top:12008;height:0;width:3387;" stroked="t" coordsize="21600,21600" o:gfxdata="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VnDW5AAAA2wAA&#10;AA8AAAAAAAAAAQAgAAAAIgAAAGRycy9kb3ducmV2LnhtbFBLAQIUABQAAAAIAIdO4kAzLwWeOwAA&#10;ADkAAAAQAAAAAAAAAAEAIAAAAAgBAABkcnMvc2hhcGV4bWwueG1sUEsFBgAAAAAGAAYAWwEAALID&#10;AAAAAA==&#10;">
              <v:path arrowok="t"/>
              <v:fill focussize="0,0"/>
              <v:stroke weight="0.5pt" color="#000000 [3213]" joinstyle="miter" dashstyle="dash"/>
              <v:imagedata o:title=""/>
              <o:lock v:ext="edit"/>
            </v:line>
            <v:line id="_x0000_s1407" o:spid="_x0000_s1407" o:spt="20" style="position:absolute;left:11261;top:4819;flip:y;height:7138;width:0;" stroked="t" coordsize="21600,21600" o:gfxdata="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rdkvQAA&#10;ANsAAAAPAAAAAAAAAAEAIAAAACIAAABkcnMvZG93bnJldi54bWxQSwECFAAUAAAACACHTuJAMy8F&#10;njsAAAA5AAAAEAAAAAAAAAABACAAAAAMAQAAZHJzL3NoYXBleG1sLnhtbFBLBQYAAAAABgAGAFsB&#10;AAC2AwAAAAA=&#10;">
              <v:path arrowok="t"/>
              <v:fill focussize="0,0"/>
              <v:stroke weight="0.5pt" color="#000000 [3213]" joinstyle="miter" dashstyle="dash"/>
              <v:imagedata o:title=""/>
              <o:lock v:ext="edit"/>
            </v:line>
            <v:line id="_x0000_s1408" o:spid="_x0000_s1408" o:spt="20" style="position:absolute;left:7688;top:4819;flip:x;height:0;width:3582;" stroked="t" coordsize="21600,21600" o:gfxdata="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FiCS5AAAA2wAA&#10;AA8AAAAAAAAAAQAgAAAAIgAAAGRycy9kb3ducmV2LnhtbFBLAQIUABQAAAAIAIdO4kAzLwWeOwAA&#10;ADkAAAAQAAAAAAAAAAEAIAAAAAgBAABkcnMvc2hhcGV4bWwueG1sUEsFBgAAAAAGAAYAWwEAALID&#10;AAAAAA==&#10;">
              <v:path arrowok="t"/>
              <v:fill focussize="0,0"/>
              <v:stroke weight="0.5pt" color="#000000 [3213]" joinstyle="miter" dashstyle="dash"/>
              <v:imagedata o:title=""/>
              <o:lock v:ext="edit"/>
            </v:line>
            <v:line id="_x0000_s1409" o:spid="_x0000_s1409" o:spt="20" style="position:absolute;left:1754;top:4819;flip:x;height:0;width:3191;" stroked="t" coordsize="21600,21600" o:gfxdata="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JLb+8AAAA&#10;2wAAAA8AAAAAAAAAAQAgAAAAIgAAAGRycy9kb3ducmV2LnhtbFBLAQIUABQAAAAIAIdO4kAzLwWe&#10;OwAAADkAAAAQAAAAAAAAAAEAIAAAAAsBAABkcnMvc2hhcGV4bWwueG1sUEsFBgAAAAAGAAYAWwEA&#10;ALUDAAAAAA==&#10;">
              <v:path arrowok="t"/>
              <v:fill focussize="0,0"/>
              <v:stroke weight="0.5pt" color="#000000 [3213]" joinstyle="miter" dashstyle="dash"/>
              <v:imagedata o:title=""/>
              <o:lock v:ext="edit"/>
            </v:line>
            <v:line id="_x0000_s1410" o:spid="_x0000_s1410" o:spt="20" style="position:absolute;left:1707;top:4844;height:7344;width:0;" stroked="t" coordsize="21600,21600" o:gfxdata="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D0CvQAA&#10;ANsAAAAPAAAAAAAAAAEAIAAAACIAAABkcnMvZG93bnJldi54bWxQSwECFAAUAAAACACHTuJAMy8F&#10;njsAAAA5AAAAEAAAAAAAAAABACAAAAAMAQAAZHJzL3NoYXBleG1sLnhtbFBLBQYAAAAABgAGAFsB&#10;AAC2AwAAAAA=&#10;">
              <v:path arrowok="t"/>
              <v:fill focussize="0,0"/>
              <v:stroke weight="0.5pt" color="#000000 [3213]" joinstyle="miter" dashstyle="dash"/>
              <v:imagedata o:title=""/>
              <o:lock v:ext="edit"/>
            </v:line>
            <v:line id="_x0000_s1411" o:spid="_x0000_s1411" o:spt="20" style="position:absolute;left:1717;top:12162;height:0;width:3368;" stroked="t" coordsize="21600,21600" o:gfxdata="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JiZvQAA&#10;ANsAAAAPAAAAAAAAAAEAIAAAACIAAABkcnMvZG93bnJldi54bWxQSwECFAAUAAAACACHTuJAMy8F&#10;njsAAAA5AAAAEAAAAAAAAAABACAAAAAMAQAAZHJzL3NoYXBleG1sLnhtbFBLBQYAAAAABgAGAFsB&#10;AAC2AwAAAAA=&#10;">
              <v:path arrowok="t"/>
              <v:fill focussize="0,0"/>
              <v:stroke weight="0.5pt" color="#000000 [3213]" joinstyle="miter" dashstyle="dash"/>
              <v:imagedata o:title=""/>
              <o:lock v:ext="edit"/>
            </v:line>
            <v:roundrect id="矩形: 圆角 34" o:spid="_x0000_s1412" o:spt="2" style="position:absolute;left:4544;top:14028;height:1145;width:4133;v-text-anchor:middle;" filled="f" coordsize="21600,21600" arcsize="0.166666666666667" o:gfxdata="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ILL8vQAA&#10;ANsAAAAPAAAAAAAAAAEAIAAAACIAAABkcnMvZG93bnJldi54bWxQSwECFAAUAAAACACHTuJAMy8F&#10;njsAAAA5AAAAEAAAAAAAAAABACAAAAAMAQAAZHJzL3NoYXBleG1sLnhtbFBLBQYAAAAABgAGAFsB&#10;AAC2AwAAAAA=&#10;">
              <v:path/>
              <v:fill on="f" focussize="0,0"/>
              <v:stroke weight="1pt" joinstyle="miter"/>
              <v:imagedata o:title=""/>
              <o:lock v:ext="edit"/>
              <v:textbox>
                <w:txbxContent>
                  <w:p>
                    <w:pPr>
                      <w:rPr>
                        <w:color w:val="000000" w:themeColor="text1"/>
                      </w:rPr>
                    </w:pPr>
                    <w:r>
                      <w:rPr>
                        <w:rFonts w:hint="eastAsia"/>
                        <w:color w:val="000000" w:themeColor="text1"/>
                      </w:rPr>
                      <w:t>社会相关部门（政府、企业）的参与</w:t>
                    </w:r>
                  </w:p>
                </w:txbxContent>
              </v:textbox>
            </v:roundrect>
            <v:shape id="箭头: 上 35" o:spid="_x0000_s1413" o:spt="68" type="#_x0000_t68" style="position:absolute;left:5131;top:13050;height:939;width:504;v-text-anchor:middle;" filled="f" stroked="t" coordsize="21600,21600" o:gfxdata="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WnvQAA&#10;ANsAAAAPAAAAAAAAAAEAIAAAACIAAABkcnMvZG93bnJldi54bWxQSwECFAAUAAAACACHTuJAMy8F&#10;njsAAAA5AAAAEAAAAAAAAAABACAAAAAMAQAAZHJzL3NoYXBleG1sLnhtbFBLBQYAAAAABgAGAFsB&#10;AAC2AwAAAAA=&#10;" adj="7987">
              <v:path/>
              <v:fill on="f" focussize="0,0"/>
              <v:stroke weight="1pt" color="#000000 [3213]" joinstyle="miter"/>
              <v:imagedata o:title=""/>
              <o:lock v:ext="edit"/>
            </v:shape>
            <v:shape id="箭头: 上 36" o:spid="_x0000_s1414" o:spt="68" type="#_x0000_t68" style="position:absolute;left:7380;top:13050;height:939;width:504;v-text-anchor:middle;" filled="f" coordsize="21600,21600" o:gfxdata="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5BvQvQAA&#10;ANsAAAAPAAAAAAAAAAEAIAAAACIAAABkcnMvZG93bnJldi54bWxQSwECFAAUAAAACACHTuJAMy8F&#10;njsAAAA5AAAAEAAAAAAAAAABACAAAAAMAQAAZHJzL3NoYXBleG1sLnhtbFBLBQYAAAAABgAGAFsB&#10;AAC2AwAAAAA=&#10;" adj="7987">
              <v:path/>
              <v:fill on="f" focussize="0,0"/>
              <v:stroke weight="1pt" joinstyle="miter"/>
              <v:imagedata o:title=""/>
              <o:lock v:ext="edit"/>
            </v:shape>
          </v:group>
        </w:pict>
      </w: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rPr>
          <w:rFonts w:ascii="Times New Roman" w:hAnsi="Times New Roman"/>
          <w:b/>
          <w:bCs/>
          <w:color w:val="000000" w:themeColor="text1"/>
          <w:kern w:val="0"/>
          <w:sz w:val="24"/>
          <w:szCs w:val="18"/>
        </w:rPr>
      </w:pPr>
    </w:p>
    <w:p>
      <w:pPr>
        <w:widowControl/>
        <w:spacing w:line="360" w:lineRule="auto"/>
        <w:ind w:left="0" w:firstLine="0"/>
        <w:jc w:val="center"/>
        <w:rPr>
          <w:color w:val="000000" w:themeColor="text1"/>
          <w:sz w:val="24"/>
          <w:szCs w:val="24"/>
        </w:rPr>
      </w:pPr>
      <w:r>
        <w:rPr>
          <w:rFonts w:hint="eastAsia" w:ascii="Times New Roman" w:hAnsi="Times New Roman"/>
          <w:b/>
          <w:bCs/>
          <w:color w:val="000000" w:themeColor="text1"/>
          <w:kern w:val="0"/>
          <w:sz w:val="24"/>
          <w:szCs w:val="18"/>
        </w:rPr>
        <w:t>图3-1 台商投资区农村物流网络体系规划框架</w:t>
      </w:r>
    </w:p>
    <w:p>
      <w:pPr>
        <w:widowControl/>
        <w:spacing w:before="0" w:after="0" w:line="360" w:lineRule="auto"/>
        <w:ind w:left="0" w:hanging="1134"/>
        <w:rPr>
          <w:color w:val="000000" w:themeColor="text1"/>
          <w:sz w:val="24"/>
          <w:szCs w:val="24"/>
        </w:rPr>
      </w:pPr>
      <w:r>
        <w:rPr>
          <w:rFonts w:hint="eastAsia"/>
          <w:color w:val="000000" w:themeColor="text1"/>
          <w:sz w:val="24"/>
          <w:szCs w:val="24"/>
        </w:rPr>
        <w:t xml:space="preserve">              </w:t>
      </w:r>
      <w:r>
        <w:rPr>
          <w:rFonts w:hint="eastAsia" w:ascii="宋体" w:hAnsi="宋体" w:cs="宋体"/>
          <w:color w:val="000000" w:themeColor="text1"/>
          <w:sz w:val="28"/>
          <w:szCs w:val="28"/>
        </w:rPr>
        <w:t>根据泉州台商投资区农村经济、社会、交通发展现状，结合农村物流发展政策及指导思想，农村物流网络整体规划如下：在道路基础设施建设完善的基础之上，科学合理规划布局，在交通运输便利、农村物流需求集中的区域规划建设区级农村物流服务中心，在各个乡镇规划建设专业的乡镇级农村物流服务站，在建制村铺设村级农村物流服务点，形成多层次、多功能，满足不同物流需求的农村物流网络。同时，为使货物能够合理、顺畅、高效的流转，在实体物流网络规划的同时构建物流信息网络，通过物流信息高效快速的传递提高整个物流实体网络的效率和协调性，实现物流资源的合理配置。此外，为保障农村物流网络的顺利运作，需要社会相关部门，如政府、企业、协会等积极参与其中，共谋农村物流发展之路。泉州台商投资区农村物流网络整体规划框架如图3-1所示。</w:t>
      </w:r>
    </w:p>
    <w:p>
      <w:pPr>
        <w:pStyle w:val="3"/>
        <w:numPr>
          <w:ilvl w:val="1"/>
          <w:numId w:val="2"/>
        </w:numPr>
        <w:ind w:left="783"/>
        <w:jc w:val="left"/>
        <w:rPr>
          <w:rFonts w:ascii="Times New Roman" w:hAnsi="Times New Roman"/>
          <w:color w:val="000000" w:themeColor="text1"/>
        </w:rPr>
      </w:pPr>
      <w:r>
        <w:rPr>
          <w:rFonts w:ascii="Times New Roman" w:hAnsi="Times New Roman"/>
          <w:color w:val="000000" w:themeColor="text1"/>
        </w:rPr>
        <w:t xml:space="preserve"> </w:t>
      </w:r>
      <w:bookmarkStart w:id="22" w:name="_Toc528526456"/>
      <w:r>
        <w:rPr>
          <w:rFonts w:hint="eastAsia" w:ascii="Times New Roman" w:hAnsi="Times New Roman"/>
          <w:color w:val="000000" w:themeColor="text1"/>
        </w:rPr>
        <w:t>农村物流网络节点规划</w:t>
      </w:r>
      <w:bookmarkEnd w:id="22"/>
    </w:p>
    <w:p>
      <w:pPr>
        <w:widowControl/>
        <w:spacing w:before="0" w:after="0" w:line="360" w:lineRule="auto"/>
        <w:ind w:left="0" w:firstLine="560" w:firstLineChars="200"/>
        <w:jc w:val="left"/>
        <w:rPr>
          <w:color w:val="000000" w:themeColor="text1"/>
          <w:sz w:val="28"/>
          <w:szCs w:val="28"/>
        </w:rPr>
      </w:pPr>
      <w:r>
        <w:rPr>
          <w:rFonts w:hint="eastAsia"/>
          <w:color w:val="000000" w:themeColor="text1"/>
          <w:sz w:val="28"/>
          <w:szCs w:val="28"/>
        </w:rPr>
        <w:t>农村物流网络要建设 “县农村物流中心乡镇物流场站村级物流网点”的三级物流网络节点体系，实现与大交通物流对接，县（市、区）物流中心作为农村物流的集散中枢，乡镇物流场站作为农村物流的中间节点，村设物流点作为农村物流的基层神经末梢。在三级农村交通物流网络体系的建设中，最核心的就是场站基础设施的建设，场站的投资、选址、功能设计都应该遵循规划先行的原则，既要做到基本功能、建筑主体外观、标识的统一，塑造农村物流品牌，同时也要结合实际，突出地域特色，便于操作实施。发展农村物流是一项重要的民生工程，是为改善农村地区相对落后的流通体系服务的。在前面分析中，可知道路客运、邮政和供销社系统各具优势，当前存在的主要问题是信息壁垒，缺乏相互补充、相互协作。作为农村物流规划的基础，在于整合原有资源，促进资源共享，充分发挥现有园区、客货站、仓储等服务功能，适当进行调整，开辟三网融合的基础设施支撑体系。</w:t>
      </w:r>
    </w:p>
    <w:p>
      <w:pPr>
        <w:widowControl/>
        <w:spacing w:before="0" w:after="0" w:line="360" w:lineRule="auto"/>
        <w:ind w:left="0" w:firstLine="560" w:firstLineChars="200"/>
        <w:jc w:val="left"/>
        <w:rPr>
          <w:color w:val="000000" w:themeColor="text1"/>
          <w:sz w:val="28"/>
          <w:szCs w:val="28"/>
        </w:rPr>
      </w:pPr>
      <w:r>
        <w:rPr>
          <w:rFonts w:hint="eastAsia"/>
          <w:color w:val="000000" w:themeColor="text1"/>
          <w:sz w:val="28"/>
          <w:szCs w:val="28"/>
        </w:rPr>
        <w:t>（1）第一层级</w:t>
      </w:r>
    </w:p>
    <w:p>
      <w:pPr>
        <w:widowControl/>
        <w:spacing w:before="0" w:after="0" w:line="360" w:lineRule="auto"/>
        <w:ind w:left="0" w:firstLine="560" w:firstLineChars="200"/>
        <w:jc w:val="left"/>
        <w:rPr>
          <w:color w:val="000000" w:themeColor="text1"/>
          <w:sz w:val="28"/>
          <w:szCs w:val="28"/>
        </w:rPr>
      </w:pPr>
      <w:r>
        <w:rPr>
          <w:rFonts w:hint="eastAsia"/>
          <w:color w:val="000000" w:themeColor="text1"/>
          <w:sz w:val="28"/>
          <w:szCs w:val="28"/>
        </w:rPr>
        <w:t>以县（市、区）农村物流中心为核心节点，结合邮政网点的建设，再将竞争力和带动力强的龙头企业及重点快递企业的快件仓储、处理中心等土地使用与设施建设纳入物流中心整体规划中，同时要把具备条件的重点快递企业及供销社中龙头企业吸纳进物流中心。</w:t>
      </w:r>
    </w:p>
    <w:p>
      <w:pPr>
        <w:widowControl/>
        <w:spacing w:before="0" w:after="0" w:line="360" w:lineRule="auto"/>
        <w:ind w:left="0" w:firstLine="560" w:firstLineChars="200"/>
        <w:jc w:val="left"/>
        <w:rPr>
          <w:color w:val="000000" w:themeColor="text1"/>
          <w:sz w:val="28"/>
          <w:szCs w:val="28"/>
        </w:rPr>
      </w:pPr>
      <w:r>
        <w:rPr>
          <w:rFonts w:hint="eastAsia"/>
          <w:color w:val="000000" w:themeColor="text1"/>
          <w:sz w:val="28"/>
          <w:szCs w:val="28"/>
        </w:rPr>
        <w:t>可以选择对县或区中二级以上客运站进行功能改造，专门划拨一定的区域，建设物流作业中心，开设邮政与供销服务专区，形成具有小批量货物集散、运输、储存、分拣与配送功能的客运站站内物流中心。</w:t>
      </w:r>
    </w:p>
    <w:p>
      <w:pPr>
        <w:widowControl/>
        <w:spacing w:before="0" w:after="0" w:line="360" w:lineRule="auto"/>
        <w:ind w:left="0" w:firstLine="560" w:firstLineChars="200"/>
        <w:jc w:val="left"/>
        <w:rPr>
          <w:color w:val="000000" w:themeColor="text1"/>
          <w:sz w:val="28"/>
          <w:szCs w:val="28"/>
        </w:rPr>
      </w:pPr>
      <w:r>
        <w:rPr>
          <w:rFonts w:hint="eastAsia"/>
          <w:color w:val="000000" w:themeColor="text1"/>
          <w:sz w:val="28"/>
          <w:szCs w:val="28"/>
        </w:rPr>
        <w:t>（2）第二层级</w:t>
      </w:r>
    </w:p>
    <w:p>
      <w:pPr>
        <w:widowControl/>
        <w:spacing w:before="0" w:after="0" w:line="360" w:lineRule="auto"/>
        <w:ind w:left="0" w:firstLine="560" w:firstLineChars="200"/>
        <w:jc w:val="left"/>
        <w:rPr>
          <w:color w:val="000000" w:themeColor="text1"/>
          <w:sz w:val="28"/>
          <w:szCs w:val="28"/>
        </w:rPr>
      </w:pPr>
      <w:r>
        <w:rPr>
          <w:rFonts w:hint="eastAsia"/>
          <w:color w:val="000000" w:themeColor="text1"/>
          <w:sz w:val="28"/>
          <w:szCs w:val="28"/>
        </w:rPr>
        <w:t>以乡镇客运站作为第二层级节点，支持重点快递企业进驻，鼓励农资、农产品、日用消费品等批量货物仓储、分拨等作业，建设成为区域农资、农产品和农村日用消费品配送平台乡镇节点。对乡镇客运站、邮政网点、供销社中心店等进行升级改造，兼具疏散、少量仓储及综合服务功能，形成农产品进城运输、小件快递以及分销商品捎带的集聚区。</w:t>
      </w:r>
    </w:p>
    <w:p>
      <w:pPr>
        <w:widowControl/>
        <w:spacing w:before="0" w:after="0" w:line="360" w:lineRule="auto"/>
        <w:ind w:left="0" w:firstLine="560" w:firstLineChars="200"/>
        <w:jc w:val="left"/>
        <w:rPr>
          <w:color w:val="000000" w:themeColor="text1"/>
          <w:sz w:val="28"/>
          <w:szCs w:val="28"/>
        </w:rPr>
      </w:pPr>
      <w:r>
        <w:rPr>
          <w:rFonts w:hint="eastAsia"/>
          <w:color w:val="000000" w:themeColor="text1"/>
          <w:sz w:val="28"/>
          <w:szCs w:val="28"/>
        </w:rPr>
        <w:t>（3）第三层级</w:t>
      </w:r>
    </w:p>
    <w:p>
      <w:pPr>
        <w:widowControl/>
        <w:spacing w:before="0" w:after="0" w:line="360" w:lineRule="auto"/>
        <w:ind w:left="0" w:firstLine="560" w:firstLineChars="200"/>
        <w:jc w:val="left"/>
        <w:rPr>
          <w:color w:val="000000" w:themeColor="text1"/>
          <w:sz w:val="28"/>
          <w:szCs w:val="28"/>
        </w:rPr>
      </w:pPr>
      <w:r>
        <w:rPr>
          <w:rFonts w:hint="eastAsia"/>
          <w:color w:val="000000" w:themeColor="text1"/>
          <w:sz w:val="28"/>
          <w:szCs w:val="28"/>
        </w:rPr>
        <w:drawing>
          <wp:anchor distT="0" distB="0" distL="114300" distR="114300" simplePos="0" relativeHeight="251639808" behindDoc="0" locked="0" layoutInCell="1" allowOverlap="1">
            <wp:simplePos x="0" y="0"/>
            <wp:positionH relativeFrom="column">
              <wp:posOffset>344805</wp:posOffset>
            </wp:positionH>
            <wp:positionV relativeFrom="paragraph">
              <wp:posOffset>2135505</wp:posOffset>
            </wp:positionV>
            <wp:extent cx="4896485" cy="3665220"/>
            <wp:effectExtent l="19050" t="0" r="0" b="0"/>
            <wp:wrapNone/>
            <wp:docPr id="12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 descr="IMG_256"/>
                    <pic:cNvPicPr>
                      <a:picLocks noChangeAspect="1"/>
                    </pic:cNvPicPr>
                  </pic:nvPicPr>
                  <pic:blipFill>
                    <a:blip r:embed="rId17" cstate="print"/>
                    <a:stretch>
                      <a:fillRect/>
                    </a:stretch>
                  </pic:blipFill>
                  <pic:spPr>
                    <a:xfrm>
                      <a:off x="0" y="0"/>
                      <a:ext cx="4896765" cy="3664916"/>
                    </a:xfrm>
                    <a:prstGeom prst="rect">
                      <a:avLst/>
                    </a:prstGeom>
                    <a:noFill/>
                    <a:ln w="9525">
                      <a:noFill/>
                    </a:ln>
                  </pic:spPr>
                </pic:pic>
              </a:graphicData>
            </a:graphic>
          </wp:anchor>
        </w:drawing>
      </w:r>
      <w:r>
        <w:rPr>
          <w:rFonts w:hint="eastAsia"/>
          <w:color w:val="000000" w:themeColor="text1"/>
          <w:sz w:val="28"/>
          <w:szCs w:val="28"/>
        </w:rPr>
        <w:t>建制村上的物流节点以便民店为主体，同时承担村邮站功能。通过合作协议形成利益共享机制，服务农村居民用邮需求及日常小批量物流作业任务，如收派信件、包裹快递等。为进行业务匹配，农村客运班线在村节点设置停靠站点，开展客运班线对小批量物品的捎带作业。</w:t>
      </w:r>
    </w:p>
    <w:p>
      <w:pPr>
        <w:spacing w:before="0" w:after="0" w:line="360" w:lineRule="auto"/>
        <w:ind w:left="577" w:hanging="576" w:hangingChars="206"/>
        <w:rPr>
          <w:rFonts w:ascii="宋体" w:hAnsi="宋体" w:cs="宋体"/>
          <w:color w:val="000000" w:themeColor="text1"/>
          <w:sz w:val="28"/>
          <w:szCs w:val="28"/>
        </w:rPr>
      </w:pPr>
    </w:p>
    <w:p>
      <w:pPr>
        <w:spacing w:before="0" w:after="0" w:line="360" w:lineRule="auto"/>
        <w:ind w:left="577" w:hanging="576" w:hangingChars="206"/>
        <w:rPr>
          <w:rFonts w:ascii="宋体" w:hAnsi="宋体" w:cs="宋体"/>
          <w:color w:val="000000" w:themeColor="text1"/>
          <w:sz w:val="28"/>
          <w:szCs w:val="28"/>
        </w:rPr>
      </w:pPr>
    </w:p>
    <w:p>
      <w:pPr>
        <w:widowControl/>
        <w:jc w:val="left"/>
        <w:rPr>
          <w:color w:val="000000" w:themeColor="text1"/>
        </w:rPr>
      </w:pPr>
    </w:p>
    <w:p>
      <w:pPr>
        <w:adjustRightInd w:val="0"/>
        <w:snapToGrid w:val="0"/>
        <w:spacing w:line="360" w:lineRule="auto"/>
        <w:ind w:firstLine="560" w:firstLineChars="200"/>
        <w:rPr>
          <w:rFonts w:ascii="宋体" w:hAnsi="宋体" w:cs="宋体"/>
          <w:bCs/>
          <w:color w:val="000000" w:themeColor="text1"/>
          <w:sz w:val="28"/>
          <w:szCs w:val="28"/>
        </w:rPr>
      </w:pPr>
    </w:p>
    <w:p>
      <w:pPr>
        <w:adjustRightInd w:val="0"/>
        <w:snapToGrid w:val="0"/>
        <w:spacing w:line="360" w:lineRule="auto"/>
        <w:ind w:firstLine="560" w:firstLineChars="200"/>
        <w:rPr>
          <w:rFonts w:ascii="宋体" w:hAnsi="宋体" w:cs="宋体"/>
          <w:bCs/>
          <w:color w:val="000000" w:themeColor="text1"/>
          <w:sz w:val="28"/>
          <w:szCs w:val="28"/>
        </w:rPr>
      </w:pPr>
    </w:p>
    <w:p>
      <w:pPr>
        <w:adjustRightInd w:val="0"/>
        <w:snapToGrid w:val="0"/>
        <w:spacing w:line="360" w:lineRule="auto"/>
        <w:ind w:firstLine="560" w:firstLineChars="200"/>
        <w:rPr>
          <w:rFonts w:ascii="宋体" w:hAnsi="宋体" w:cs="宋体"/>
          <w:bCs/>
          <w:color w:val="000000" w:themeColor="text1"/>
          <w:sz w:val="28"/>
          <w:szCs w:val="28"/>
        </w:rPr>
      </w:pPr>
    </w:p>
    <w:p>
      <w:pPr>
        <w:widowControl/>
        <w:jc w:val="left"/>
        <w:rPr>
          <w:color w:val="000000" w:themeColor="text1"/>
        </w:rPr>
      </w:pPr>
    </w:p>
    <w:p>
      <w:pPr>
        <w:adjustRightInd w:val="0"/>
        <w:snapToGrid w:val="0"/>
        <w:spacing w:line="360" w:lineRule="auto"/>
        <w:ind w:firstLine="560" w:firstLineChars="200"/>
        <w:rPr>
          <w:rFonts w:ascii="宋体" w:hAnsi="宋体" w:cs="宋体"/>
          <w:bCs/>
          <w:color w:val="000000" w:themeColor="text1"/>
          <w:sz w:val="28"/>
          <w:szCs w:val="28"/>
        </w:rPr>
      </w:pPr>
    </w:p>
    <w:p>
      <w:pPr>
        <w:adjustRightInd w:val="0"/>
        <w:snapToGrid w:val="0"/>
        <w:spacing w:line="360" w:lineRule="auto"/>
        <w:ind w:left="577" w:hanging="576" w:hangingChars="206"/>
        <w:rPr>
          <w:rFonts w:ascii="宋体" w:hAnsi="宋体" w:cs="宋体"/>
          <w:bCs/>
          <w:color w:val="000000" w:themeColor="text1"/>
          <w:sz w:val="28"/>
          <w:szCs w:val="28"/>
        </w:rPr>
      </w:pPr>
    </w:p>
    <w:p>
      <w:pPr>
        <w:widowControl/>
        <w:spacing w:line="360" w:lineRule="auto"/>
        <w:ind w:left="0" w:firstLine="0"/>
        <w:jc w:val="center"/>
        <w:rPr>
          <w:rFonts w:ascii="Times New Roman" w:hAnsi="Times New Roman"/>
          <w:b/>
          <w:bCs/>
          <w:color w:val="000000" w:themeColor="text1"/>
          <w:kern w:val="0"/>
          <w:sz w:val="24"/>
          <w:szCs w:val="18"/>
        </w:rPr>
      </w:pPr>
      <w:r>
        <w:rPr>
          <w:rFonts w:hint="eastAsia" w:ascii="Times New Roman" w:hAnsi="Times New Roman"/>
          <w:b/>
          <w:bCs/>
          <w:color w:val="000000" w:themeColor="text1"/>
          <w:kern w:val="0"/>
          <w:sz w:val="24"/>
          <w:szCs w:val="18"/>
        </w:rPr>
        <w:t>图3-2 农村物流网络节点布局</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color w:val="000000" w:themeColor="text1"/>
          <w:sz w:val="32"/>
        </w:rPr>
        <w:t>3</w:t>
      </w:r>
      <w:r>
        <w:rPr>
          <w:rFonts w:hint="eastAsia" w:eastAsia="黑体"/>
          <w:bCs/>
          <w:color w:val="000000" w:themeColor="text1"/>
          <w:sz w:val="30"/>
          <w:szCs w:val="30"/>
          <w:lang w:bidi="en-US"/>
        </w:rPr>
        <w:t>.5.1 区级农村物流中心</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县（市、区）级农村物流中心的选址一般都在县（市、区）内交通便利的位置，依托于县（市、区）域内的产业集聚区、大型生产企业或农副产品加工企业进行布局建设，县（市、区）级农村物流的建设应由政府引导，鼓励区域内大型流通型企业、生产型企业出资筹建，政府给予政策方面的优惠。</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1.选址</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物流中心的选址涉及到方方面面，并且直接决定着物流设施功能的发挥程度，关系到一个物流网络系统的成败。主要要考虑的因素：</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靠近货物转运枢纽和主要生产消费地，便于发挥物流中心作为区域经济商品集散地的作用。建设物流中心的一个重要目的是解决货物转运问题，因此要求物流中心选址临近港口、机场、铁路编组站。大型工业园区、商贸中心是物流中心的主要服务对象，因此，物流中心的选址应有利于为商贸工业园区、企业提供仓储配送服务，充分发挥物流中心在区域经济中商品集散的作用。</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（2）考虑土地成本。选择地价较低的地区建设物流中心，充分利用现有未开发的土地资源，有利于物流企业的低成本运作，提高企业竞争力。</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（3）尽量利用现有设施，最大限度节约投资成本。物流中心的建设需要投入大量的人力、物力和财力，整合利用现有的物流设施资源将是节省建设投入的一条有效途径。</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（4）与城市总体规划相协调并注重环境保护。物流中心的建设必须从城市整体发展的角度来统筹考虑，结合城市功能布局规划、土地使用规划等，确定物流中心的具体位置，满足城市地域分工与协作的要求。</w:t>
      </w:r>
    </w:p>
    <w:p>
      <w:pPr>
        <w:snapToGrid w:val="0"/>
        <w:spacing w:before="0" w:after="0" w:line="360" w:lineRule="auto"/>
        <w:ind w:left="0" w:firstLine="560" w:firstLineChars="200"/>
        <w:jc w:val="left"/>
        <w:rPr>
          <w:rFonts w:ascii="宋体" w:hAnsi="宋体" w:cs="宋体"/>
          <w:color w:val="000000" w:themeColor="text1"/>
          <w:sz w:val="28"/>
          <w:szCs w:val="28"/>
        </w:rPr>
      </w:pPr>
      <w:r>
        <w:rPr>
          <w:rFonts w:hint="eastAsia"/>
          <w:color w:val="000000" w:themeColor="text1"/>
          <w:kern w:val="0"/>
          <w:sz w:val="28"/>
        </w:rPr>
        <w:t>（5）注意土地的预留以及预留土地的保存和利用问题。综合物流中心的建设是一个循序渐进的过程，具有一定的超前性，这要求在物流中心的选址上必须注意土地的预留以及预留土地的保存和利用问题。</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泉州台商投资区农村物流中心可以选址在丰树东南产业物流园内建设区级物流服务中心。区级物流服务中心是城区与外部区域之间物流交换的枢纽节点，也是区域范围内物资集聚和物流组织的中心。区级农村物流中心也是集农产品的采购中心、加工包装中心、分拣运输中心、储存保管中心、信息中心，或者是农资、农村消费品的配送中心，成为区域农村物流活动、物流组织管理和物流信息等为一体的物流网络枢纽。</w:t>
      </w:r>
    </w:p>
    <w:p>
      <w:pPr>
        <w:snapToGrid w:val="0"/>
        <w:spacing w:before="0" w:after="0" w:line="360" w:lineRule="auto"/>
        <w:ind w:left="279" w:leftChars="133" w:firstLine="263" w:firstLineChars="94"/>
        <w:jc w:val="left"/>
        <w:rPr>
          <w:color w:val="000000" w:themeColor="text1"/>
          <w:kern w:val="0"/>
          <w:sz w:val="28"/>
        </w:rPr>
      </w:pPr>
      <w:r>
        <w:rPr>
          <w:rFonts w:hint="eastAsia"/>
          <w:color w:val="000000" w:themeColor="text1"/>
          <w:kern w:val="0"/>
          <w:sz w:val="28"/>
        </w:rPr>
        <w:t>2.功能定位</w:t>
      </w:r>
    </w:p>
    <w:p>
      <w:pPr>
        <w:snapToGrid w:val="0"/>
        <w:spacing w:before="0" w:after="0" w:line="360" w:lineRule="auto"/>
        <w:ind w:left="19" w:leftChars="9" w:firstLine="560" w:firstLineChars="200"/>
        <w:jc w:val="left"/>
        <w:rPr>
          <w:color w:val="000000" w:themeColor="text1"/>
          <w:kern w:val="0"/>
          <w:sz w:val="28"/>
        </w:rPr>
      </w:pPr>
      <w:r>
        <w:rPr>
          <w:rFonts w:hint="eastAsia"/>
          <w:color w:val="000000" w:themeColor="text1"/>
          <w:kern w:val="0"/>
          <w:sz w:val="28"/>
        </w:rPr>
        <w:t>区级农村物流中心通过物流企业、商贸企业和信息资源在物流中心形成资源互补，发挥出批量采购、共同配送、仓储服务、快速流通及信息共享的优势，实现农村物流信息服务、运力管理、物流交易及配送一体化管理，成为城市物流与农村物流衔接的必不可少的节点设施。农村物流中心应该向综合物流中心发展。它的功能可以包含很多方面,除了具有一般物流中心的功能，例如仓储、配送运输、装卸搬运、包装、流通加工和信息处理功能之外，还可以含有信息服务、市场预测、市场展示及交易、结算等功能。区级物流服务中心包括以下功能：</w:t>
      </w:r>
    </w:p>
    <w:p>
      <w:pPr>
        <w:snapToGrid w:val="0"/>
        <w:spacing w:before="0" w:after="0" w:line="360" w:lineRule="auto"/>
        <w:ind w:left="624" w:leftChars="197" w:hanging="210" w:hangingChars="75"/>
        <w:jc w:val="left"/>
        <w:rPr>
          <w:color w:val="000000" w:themeColor="text1"/>
          <w:kern w:val="0"/>
          <w:sz w:val="28"/>
        </w:rPr>
      </w:pPr>
      <w:r>
        <w:rPr>
          <w:rFonts w:hint="eastAsia"/>
          <w:color w:val="000000" w:themeColor="text1"/>
          <w:kern w:val="0"/>
          <w:sz w:val="28"/>
        </w:rPr>
        <w:t>（1）基本功能</w:t>
      </w:r>
    </w:p>
    <w:p>
      <w:pPr>
        <w:snapToGrid w:val="0"/>
        <w:spacing w:before="0" w:after="0" w:line="360" w:lineRule="auto"/>
        <w:ind w:left="624" w:leftChars="64" w:hanging="490" w:hangingChars="175"/>
        <w:jc w:val="left"/>
        <w:rPr>
          <w:color w:val="000000" w:themeColor="text1"/>
          <w:kern w:val="0"/>
          <w:sz w:val="28"/>
        </w:rPr>
      </w:pPr>
      <w:r>
        <w:rPr>
          <w:rFonts w:hint="eastAsia"/>
          <w:color w:val="000000" w:themeColor="text1"/>
          <w:kern w:val="0"/>
          <w:sz w:val="28"/>
        </w:rPr>
        <w:t xml:space="preserve">   1）存储功能：物流中心最基本的功能是存储功能，它要求配备一</w:t>
      </w:r>
    </w:p>
    <w:p>
      <w:pPr>
        <w:snapToGrid w:val="0"/>
        <w:spacing w:before="0" w:after="0" w:line="360" w:lineRule="auto"/>
        <w:ind w:left="0" w:firstLine="0"/>
        <w:jc w:val="left"/>
        <w:rPr>
          <w:color w:val="000000" w:themeColor="text1"/>
          <w:kern w:val="0"/>
          <w:sz w:val="28"/>
        </w:rPr>
      </w:pPr>
      <w:r>
        <w:rPr>
          <w:rFonts w:hint="eastAsia"/>
          <w:color w:val="000000" w:themeColor="text1"/>
          <w:kern w:val="0"/>
          <w:sz w:val="28"/>
        </w:rPr>
        <w:t>定的储存设施和设备。由于物流中心里所涉及的很多作业环节如运输、配送等都要与仓储、库存相联系，所以存储的职能是必不可少的，它可以保证物流活动的开展，具有重要的支撑作用。</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运输配送功能：功能物流中心是整个物流供应链中的一个节点，它的作用离不开物流本身所具有的一个重要特性，也就是对所经手的货物安排向下一个物流节点或者直接向消费者流动，同时由于物流中心有着相对比较便利的交通优势，所以它就必然具备运输、配送货物的功能。对于城际间的货物运输，物流中心应能达到最佳运输模式组合、最高效率、最短路径、最少时间、最低费用的要求。</w:t>
      </w:r>
    </w:p>
    <w:p>
      <w:pPr>
        <w:snapToGrid w:val="0"/>
        <w:spacing w:before="0" w:after="0" w:line="360" w:lineRule="auto"/>
        <w:ind w:left="420" w:leftChars="200" w:firstLine="0"/>
        <w:jc w:val="left"/>
        <w:rPr>
          <w:color w:val="000000" w:themeColor="text1"/>
          <w:kern w:val="0"/>
          <w:sz w:val="28"/>
        </w:rPr>
      </w:pPr>
      <w:r>
        <w:rPr>
          <w:rFonts w:hint="eastAsia"/>
          <w:color w:val="000000" w:themeColor="text1"/>
          <w:kern w:val="0"/>
          <w:sz w:val="28"/>
        </w:rPr>
        <w:t xml:space="preserve"> 3）装卸搬运功能：这是为了加快商品在农村物流中心的流通速度</w:t>
      </w:r>
    </w:p>
    <w:p>
      <w:pPr>
        <w:snapToGrid w:val="0"/>
        <w:spacing w:before="0" w:after="0" w:line="360" w:lineRule="auto"/>
        <w:ind w:left="0" w:firstLine="0"/>
        <w:jc w:val="left"/>
        <w:rPr>
          <w:color w:val="000000" w:themeColor="text1"/>
          <w:kern w:val="0"/>
          <w:sz w:val="28"/>
        </w:rPr>
      </w:pPr>
      <w:r>
        <w:rPr>
          <w:rFonts w:hint="eastAsia"/>
          <w:color w:val="000000" w:themeColor="text1"/>
          <w:kern w:val="0"/>
          <w:sz w:val="28"/>
        </w:rPr>
        <w:t>所必备的功能。农村物流中心应配备专业化的装卸、提升、运送、码垛等装卸搬运机械,提高装卸搬运作业效率，减少作业对商品造成的损毁。</w:t>
      </w:r>
    </w:p>
    <w:p>
      <w:pPr>
        <w:numPr>
          <w:ilvl w:val="0"/>
          <w:numId w:val="4"/>
        </w:num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包装功能：农村物流中心的包装作业不仅要负责商品的组合、</w:t>
      </w:r>
    </w:p>
    <w:p>
      <w:pPr>
        <w:snapToGrid w:val="0"/>
        <w:spacing w:before="0" w:after="0" w:line="360" w:lineRule="auto"/>
        <w:ind w:left="0" w:firstLine="0"/>
        <w:jc w:val="left"/>
        <w:rPr>
          <w:color w:val="000000" w:themeColor="text1"/>
          <w:kern w:val="0"/>
          <w:sz w:val="28"/>
        </w:rPr>
      </w:pPr>
      <w:r>
        <w:rPr>
          <w:rFonts w:hint="eastAsia"/>
          <w:color w:val="000000" w:themeColor="text1"/>
          <w:kern w:val="0"/>
          <w:sz w:val="28"/>
        </w:rPr>
        <w:t>拼装、加固，形成适于物流和配送的组合包装单元，同时还要根据客户的需要对商品进行必要的商业包装。货物加工保鲜功能将蔬菜、水果等易腐农产品进行加工、包装后销售，通过加工、包装提高农产品质量，实现增值此外，可以根据市场需要，对部分农产品冷藏保鲜储藏，延长农产品保存期的同时，增加其附加值。</w:t>
      </w:r>
    </w:p>
    <w:p>
      <w:pPr>
        <w:numPr>
          <w:ilvl w:val="0"/>
          <w:numId w:val="4"/>
        </w:num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电商快递服务功能：随着电商业务的不断扩大，快递物流公</w:t>
      </w:r>
    </w:p>
    <w:p>
      <w:pPr>
        <w:snapToGrid w:val="0"/>
        <w:spacing w:before="0" w:after="0" w:line="360" w:lineRule="auto"/>
        <w:ind w:left="0" w:firstLine="0"/>
        <w:jc w:val="left"/>
        <w:rPr>
          <w:color w:val="000000" w:themeColor="text1"/>
          <w:kern w:val="0"/>
          <w:sz w:val="28"/>
        </w:rPr>
      </w:pPr>
      <w:r>
        <w:rPr>
          <w:rFonts w:hint="eastAsia"/>
          <w:color w:val="000000" w:themeColor="text1"/>
          <w:kern w:val="0"/>
          <w:sz w:val="28"/>
        </w:rPr>
        <w:t>司要满足日渐增长的快递配送需求。包括为电商企业提供公共服务和快递包裹分拣、配送等服务。</w:t>
      </w:r>
    </w:p>
    <w:p>
      <w:pPr>
        <w:numPr>
          <w:ilvl w:val="0"/>
          <w:numId w:val="4"/>
        </w:num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信息处理功能：信息技术对物流的支持作用越来越明显，将在</w:t>
      </w:r>
    </w:p>
    <w:p>
      <w:pPr>
        <w:snapToGrid w:val="0"/>
        <w:spacing w:before="0" w:after="0" w:line="360" w:lineRule="auto"/>
        <w:ind w:left="0" w:firstLine="0"/>
        <w:jc w:val="left"/>
        <w:rPr>
          <w:color w:val="000000" w:themeColor="text1"/>
          <w:kern w:val="0"/>
          <w:sz w:val="28"/>
        </w:rPr>
      </w:pPr>
      <w:r>
        <w:rPr>
          <w:rFonts w:hint="eastAsia"/>
          <w:color w:val="000000" w:themeColor="text1"/>
          <w:kern w:val="0"/>
          <w:sz w:val="28"/>
        </w:rPr>
        <w:t>各个物流环节的各种物流作业中产生的物流信息进行实时采集、传递和分析，并向客户提供各种作业的明细信息及咨询信息。</w:t>
      </w:r>
    </w:p>
    <w:p>
      <w:pPr>
        <w:snapToGrid w:val="0"/>
        <w:spacing w:before="0" w:after="0" w:line="360" w:lineRule="auto"/>
        <w:ind w:left="646" w:leftChars="300" w:hanging="16" w:hangingChars="6"/>
        <w:jc w:val="left"/>
        <w:rPr>
          <w:color w:val="000000" w:themeColor="text1"/>
          <w:kern w:val="0"/>
          <w:sz w:val="28"/>
        </w:rPr>
      </w:pPr>
      <w:r>
        <w:rPr>
          <w:rFonts w:hint="eastAsia"/>
          <w:color w:val="000000" w:themeColor="text1"/>
          <w:kern w:val="0"/>
          <w:sz w:val="28"/>
        </w:rPr>
        <w:t>（2）延伸功能</w:t>
      </w:r>
    </w:p>
    <w:p>
      <w:pPr>
        <w:snapToGrid w:val="0"/>
        <w:spacing w:before="0" w:after="0" w:line="360" w:lineRule="auto"/>
        <w:ind w:left="19" w:leftChars="9" w:firstLine="560" w:firstLineChars="200"/>
        <w:jc w:val="left"/>
        <w:rPr>
          <w:color w:val="000000" w:themeColor="text1"/>
          <w:kern w:val="0"/>
          <w:sz w:val="28"/>
        </w:rPr>
      </w:pPr>
      <w:r>
        <w:rPr>
          <w:rFonts w:hint="eastAsia"/>
          <w:color w:val="000000" w:themeColor="text1"/>
          <w:kern w:val="0"/>
          <w:sz w:val="28"/>
        </w:rPr>
        <w:t>1）结算功能：农村物流中心的结算不仅仅只是物流费用的结算，在从事代理、配送的情况下，农村物流中心还要替货主向收货人结算货款等。</w:t>
      </w:r>
    </w:p>
    <w:p>
      <w:pPr>
        <w:snapToGrid w:val="0"/>
        <w:spacing w:before="0" w:after="0" w:line="360" w:lineRule="auto"/>
        <w:ind w:left="19" w:leftChars="9" w:firstLine="560" w:firstLineChars="200"/>
        <w:jc w:val="left"/>
        <w:rPr>
          <w:color w:val="000000" w:themeColor="text1"/>
          <w:kern w:val="0"/>
          <w:sz w:val="28"/>
        </w:rPr>
      </w:pPr>
      <w:r>
        <w:rPr>
          <w:rFonts w:hint="eastAsia"/>
          <w:color w:val="000000" w:themeColor="text1"/>
          <w:kern w:val="0"/>
          <w:sz w:val="28"/>
        </w:rPr>
        <w:t>2）需求预测功能：农村物流中心应能根据本中心货品进货、出货信息来预测未来一段时间内的货品出入库量，进而预测市场对货品的需求。</w:t>
      </w:r>
    </w:p>
    <w:p>
      <w:pPr>
        <w:snapToGrid w:val="0"/>
        <w:spacing w:before="0" w:after="0" w:line="360" w:lineRule="auto"/>
        <w:ind w:left="19" w:leftChars="9" w:firstLine="800" w:firstLineChars="286"/>
        <w:jc w:val="left"/>
        <w:rPr>
          <w:color w:val="000000" w:themeColor="text1"/>
          <w:kern w:val="0"/>
          <w:sz w:val="28"/>
        </w:rPr>
      </w:pPr>
      <w:r>
        <w:rPr>
          <w:rFonts w:hint="eastAsia"/>
          <w:color w:val="000000" w:themeColor="text1"/>
          <w:kern w:val="0"/>
          <w:sz w:val="28"/>
        </w:rPr>
        <w:t>3）物流咨询培训服务：物流中心向农民提供相关技术咨询培训或资金支持，合作经营物流中心。</w:t>
      </w:r>
    </w:p>
    <w:p>
      <w:pPr>
        <w:snapToGrid w:val="0"/>
        <w:spacing w:before="0" w:after="0" w:line="360" w:lineRule="auto"/>
        <w:ind w:left="598" w:leftChars="277" w:hanging="16" w:hangingChars="6"/>
        <w:jc w:val="left"/>
        <w:rPr>
          <w:color w:val="000000" w:themeColor="text1"/>
          <w:kern w:val="0"/>
          <w:sz w:val="28"/>
        </w:rPr>
      </w:pPr>
      <w:r>
        <w:rPr>
          <w:rFonts w:hint="eastAsia"/>
          <w:color w:val="000000" w:themeColor="text1"/>
          <w:kern w:val="0"/>
          <w:sz w:val="28"/>
        </w:rPr>
        <w:t>（3）配套服务功能</w:t>
      </w:r>
    </w:p>
    <w:p>
      <w:pPr>
        <w:snapToGrid w:val="0"/>
        <w:spacing w:before="0" w:after="0" w:line="360" w:lineRule="auto"/>
        <w:ind w:left="19" w:leftChars="9" w:firstLine="560" w:firstLineChars="200"/>
        <w:jc w:val="left"/>
        <w:rPr>
          <w:color w:val="000000" w:themeColor="text1"/>
          <w:kern w:val="0"/>
          <w:sz w:val="28"/>
        </w:rPr>
      </w:pPr>
      <w:r>
        <w:rPr>
          <w:rFonts w:hint="eastAsia"/>
          <w:color w:val="000000" w:themeColor="text1"/>
          <w:kern w:val="0"/>
          <w:sz w:val="28"/>
        </w:rPr>
        <w:t>1）车辆辅助服务：现代停车场、加油、检修、培训、配件供应等。</w:t>
      </w:r>
    </w:p>
    <w:p>
      <w:pPr>
        <w:snapToGrid w:val="0"/>
        <w:spacing w:before="0" w:after="0" w:line="360" w:lineRule="auto"/>
        <w:ind w:left="19" w:leftChars="9" w:firstLine="560" w:firstLineChars="200"/>
        <w:jc w:val="left"/>
        <w:rPr>
          <w:color w:val="000000" w:themeColor="text1"/>
          <w:kern w:val="0"/>
          <w:sz w:val="28"/>
        </w:rPr>
      </w:pPr>
      <w:r>
        <w:rPr>
          <w:rFonts w:hint="eastAsia"/>
          <w:color w:val="000000" w:themeColor="text1"/>
          <w:kern w:val="0"/>
          <w:sz w:val="28"/>
        </w:rPr>
        <w:t>2）生活配套服务：住宿、餐饮、娱乐、购物、旅游等。物流中心应能提供一条龙的相关服务。</w:t>
      </w:r>
    </w:p>
    <w:p>
      <w:pPr>
        <w:spacing w:before="0" w:after="0" w:line="360" w:lineRule="auto"/>
        <w:ind w:left="1149" w:leftChars="273" w:hanging="576" w:hangingChars="206"/>
        <w:rPr>
          <w:color w:val="000000" w:themeColor="text1"/>
          <w:kern w:val="0"/>
          <w:sz w:val="28"/>
        </w:rPr>
      </w:pPr>
      <w:r>
        <w:rPr>
          <w:rFonts w:hint="eastAsia"/>
          <w:color w:val="000000" w:themeColor="text1"/>
          <w:kern w:val="0"/>
          <w:sz w:val="28"/>
        </w:rPr>
        <w:t>以上功能可以用功能组合结构图来表示，见图3-3。</w:t>
      </w:r>
    </w:p>
    <w:p>
      <w:pPr>
        <w:widowControl/>
        <w:jc w:val="left"/>
        <w:rPr>
          <w:color w:val="000000" w:themeColor="text1"/>
        </w:rPr>
      </w:pPr>
      <w:r>
        <w:rPr>
          <w:rFonts w:ascii="宋体" w:hAnsi="宋体" w:cs="宋体"/>
          <w:color w:val="000000" w:themeColor="text1"/>
          <w:kern w:val="0"/>
          <w:sz w:val="24"/>
          <w:szCs w:val="24"/>
        </w:rPr>
        <w:drawing>
          <wp:anchor distT="0" distB="0" distL="114300" distR="114300" simplePos="0" relativeHeight="251671552" behindDoc="0" locked="0" layoutInCell="1" allowOverlap="1">
            <wp:simplePos x="0" y="0"/>
            <wp:positionH relativeFrom="column">
              <wp:posOffset>-29845</wp:posOffset>
            </wp:positionH>
            <wp:positionV relativeFrom="paragraph">
              <wp:posOffset>127000</wp:posOffset>
            </wp:positionV>
            <wp:extent cx="5412740" cy="3218815"/>
            <wp:effectExtent l="0" t="0" r="16510" b="635"/>
            <wp:wrapNone/>
            <wp:docPr id="165" name="图片 1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51" descr="IMG_256"/>
                    <pic:cNvPicPr>
                      <a:picLocks noChangeAspect="1"/>
                    </pic:cNvPicPr>
                  </pic:nvPicPr>
                  <pic:blipFill>
                    <a:blip r:embed="rId18" cstate="print"/>
                    <a:stretch>
                      <a:fillRect/>
                    </a:stretch>
                  </pic:blipFill>
                  <pic:spPr>
                    <a:xfrm>
                      <a:off x="0" y="0"/>
                      <a:ext cx="5412740" cy="3218815"/>
                    </a:xfrm>
                    <a:prstGeom prst="rect">
                      <a:avLst/>
                    </a:prstGeom>
                    <a:noFill/>
                    <a:ln w="9525">
                      <a:noFill/>
                    </a:ln>
                  </pic:spPr>
                </pic:pic>
              </a:graphicData>
            </a:graphic>
          </wp:anchor>
        </w:drawing>
      </w:r>
    </w:p>
    <w:p>
      <w:pPr>
        <w:spacing w:before="0" w:after="0" w:line="360" w:lineRule="auto"/>
        <w:ind w:left="19" w:leftChars="9" w:firstLine="800" w:firstLineChars="286"/>
        <w:rPr>
          <w:color w:val="000000" w:themeColor="text1"/>
          <w:kern w:val="0"/>
          <w:sz w:val="28"/>
        </w:rPr>
      </w:pPr>
    </w:p>
    <w:p>
      <w:pPr>
        <w:spacing w:before="0" w:after="0" w:line="360" w:lineRule="auto"/>
        <w:ind w:left="19" w:leftChars="9" w:firstLine="800" w:firstLineChars="286"/>
        <w:rPr>
          <w:color w:val="000000" w:themeColor="text1"/>
          <w:kern w:val="0"/>
          <w:sz w:val="28"/>
        </w:rPr>
      </w:pPr>
    </w:p>
    <w:p>
      <w:pPr>
        <w:spacing w:before="0" w:after="0" w:line="360" w:lineRule="auto"/>
        <w:ind w:left="19" w:leftChars="9" w:firstLine="800" w:firstLineChars="286"/>
        <w:rPr>
          <w:color w:val="000000" w:themeColor="text1"/>
          <w:kern w:val="0"/>
          <w:sz w:val="28"/>
        </w:rPr>
      </w:pPr>
    </w:p>
    <w:p>
      <w:pPr>
        <w:spacing w:before="0" w:after="0" w:line="360" w:lineRule="auto"/>
        <w:ind w:left="14" w:hanging="14" w:hangingChars="5"/>
        <w:rPr>
          <w:rFonts w:ascii="宋体" w:hAnsi="宋体" w:cs="宋体"/>
          <w:color w:val="000000" w:themeColor="text1"/>
          <w:sz w:val="28"/>
          <w:szCs w:val="28"/>
        </w:rPr>
      </w:pPr>
    </w:p>
    <w:p>
      <w:pPr>
        <w:spacing w:before="0" w:after="0" w:line="360" w:lineRule="auto"/>
        <w:ind w:left="0" w:firstLine="560" w:firstLineChars="200"/>
        <w:rPr>
          <w:rFonts w:ascii="宋体" w:hAnsi="宋体" w:cs="宋体"/>
          <w:color w:val="000000" w:themeColor="text1"/>
          <w:sz w:val="28"/>
          <w:szCs w:val="28"/>
        </w:rPr>
      </w:pPr>
    </w:p>
    <w:p>
      <w:pPr>
        <w:spacing w:before="0" w:after="0" w:line="360" w:lineRule="auto"/>
        <w:ind w:left="0" w:firstLine="560" w:firstLineChars="200"/>
        <w:rPr>
          <w:rFonts w:ascii="宋体" w:hAnsi="宋体" w:cs="宋体"/>
          <w:color w:val="000000" w:themeColor="text1"/>
          <w:sz w:val="28"/>
          <w:szCs w:val="28"/>
        </w:rPr>
      </w:pPr>
    </w:p>
    <w:p>
      <w:pPr>
        <w:snapToGrid w:val="0"/>
        <w:spacing w:line="360" w:lineRule="auto"/>
        <w:ind w:firstLine="482" w:firstLineChars="200"/>
        <w:jc w:val="center"/>
        <w:rPr>
          <w:rFonts w:ascii="黑体" w:hAnsi="黑体" w:eastAsia="黑体" w:cs="黑体"/>
          <w:b/>
          <w:bCs/>
          <w:color w:val="000000" w:themeColor="text1"/>
          <w:kern w:val="0"/>
          <w:sz w:val="24"/>
          <w:szCs w:val="24"/>
        </w:rPr>
      </w:pPr>
    </w:p>
    <w:p>
      <w:pPr>
        <w:snapToGrid w:val="0"/>
        <w:spacing w:line="360" w:lineRule="auto"/>
        <w:ind w:firstLine="482" w:firstLineChars="200"/>
        <w:jc w:val="center"/>
        <w:rPr>
          <w:rFonts w:ascii="黑体" w:hAnsi="黑体" w:eastAsia="黑体" w:cs="黑体"/>
          <w:b/>
          <w:bCs/>
          <w:color w:val="000000" w:themeColor="text1"/>
          <w:kern w:val="0"/>
          <w:sz w:val="24"/>
          <w:szCs w:val="24"/>
        </w:rPr>
      </w:pPr>
      <w:r>
        <w:rPr>
          <w:rFonts w:hint="eastAsia" w:ascii="黑体" w:hAnsi="黑体" w:eastAsia="黑体" w:cs="黑体"/>
          <w:b/>
          <w:bCs/>
          <w:color w:val="000000" w:themeColor="text1"/>
          <w:kern w:val="0"/>
          <w:sz w:val="24"/>
          <w:szCs w:val="24"/>
        </w:rPr>
        <w:t>图3-3 区级农村物流中心功能组合</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3.布局</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合理利用地形，布局紧凑，节约用地，并留有发展余地。</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（1）功能分区明确、合理、得当，布局紧凑，节约用地，管理维修方便，留有一定发展余地；</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（2）应能保证安全、迅速的办理综合物流中心内的各项作业。尽量缩短货物在县物流中心的搬运距离，使物流中心中的货物流通顺畅、方便、迅速；</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（3）物流中心的各个功能区与外界保持良好的交通和运输联系，出入口和内部道路符合人流与车流的集散要求，各运动流线保持顺畅、短捷；</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（4）建筑物布置应考虑当地总体景观，与周边环境相协调；</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（5）满足项目在朝向、光线、安全、防护、通讯、照明等方面的要求；</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（6）便于利用当地已有的上下水、供电、通讯等基础设施；</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（7）符合国家和当地政府现行的安全、消防、环保等有关规定。 </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4.设施设备配备</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根据2019年-2025年预测的泉州台商投资区快递业务量，完成近期和中远期区级物流中心面积的规划，具体见表3-2和表3-3。</w:t>
      </w:r>
    </w:p>
    <w:p>
      <w:pPr>
        <w:widowControl/>
        <w:spacing w:line="240" w:lineRule="auto"/>
        <w:ind w:firstLine="0"/>
        <w:jc w:val="center"/>
        <w:rPr>
          <w:rFonts w:ascii="Times New Roman" w:hAnsi="Times New Roman"/>
          <w:b/>
          <w:bCs/>
          <w:color w:val="000000" w:themeColor="text1"/>
          <w:kern w:val="0"/>
          <w:sz w:val="24"/>
          <w:szCs w:val="18"/>
        </w:rPr>
      </w:pPr>
      <w:r>
        <w:rPr>
          <w:rFonts w:hint="eastAsia" w:ascii="Times New Roman" w:hAnsi="Times New Roman"/>
          <w:b/>
          <w:bCs/>
          <w:color w:val="000000" w:themeColor="text1"/>
          <w:kern w:val="0"/>
          <w:sz w:val="24"/>
          <w:szCs w:val="18"/>
        </w:rPr>
        <w:t>表3-2   近期区级物流服务中心规划面积</w:t>
      </w:r>
    </w:p>
    <w:tbl>
      <w:tblPr>
        <w:tblStyle w:val="19"/>
        <w:tblW w:w="7894" w:type="dxa"/>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2268"/>
        <w:gridCol w:w="1418"/>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区</w:t>
            </w:r>
          </w:p>
        </w:tc>
        <w:tc>
          <w:tcPr>
            <w:tcW w:w="2268" w:type="dxa"/>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2020年快递业务量</w:t>
            </w:r>
          </w:p>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（万件）</w:t>
            </w:r>
          </w:p>
        </w:tc>
        <w:tc>
          <w:tcPr>
            <w:tcW w:w="1418" w:type="dxa"/>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面积</w:t>
            </w:r>
          </w:p>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（平方米）</w:t>
            </w:r>
          </w:p>
        </w:tc>
        <w:tc>
          <w:tcPr>
            <w:tcW w:w="2410" w:type="dxa"/>
          </w:tcPr>
          <w:p>
            <w:pPr>
              <w:widowControl/>
              <w:spacing w:line="240" w:lineRule="auto"/>
              <w:ind w:left="0" w:firstLine="0"/>
              <w:jc w:val="center"/>
              <w:rPr>
                <w:rFonts w:ascii="Times New Roman" w:hAnsi="Times New Roman"/>
                <w:b/>
                <w:bCs/>
                <w:color w:val="000000" w:themeColor="text1"/>
                <w:kern w:val="0"/>
                <w:sz w:val="24"/>
                <w:szCs w:val="18"/>
              </w:rPr>
            </w:pPr>
            <w:r>
              <w:rPr>
                <w:rFonts w:hint="eastAsia" w:ascii="Times New Roman" w:hAnsi="Times New Roman"/>
                <w:b/>
                <w:bCs/>
                <w:color w:val="000000" w:themeColor="text1"/>
                <w:kern w:val="0"/>
                <w:sz w:val="24"/>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Align w:val="center"/>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泉州台商投资区</w:t>
            </w:r>
          </w:p>
        </w:tc>
        <w:tc>
          <w:tcPr>
            <w:tcW w:w="2268" w:type="dxa"/>
            <w:vAlign w:val="center"/>
          </w:tcPr>
          <w:p>
            <w:pPr>
              <w:widowControl/>
              <w:spacing w:before="0" w:after="0" w:line="240" w:lineRule="auto"/>
              <w:ind w:left="0" w:firstLine="0"/>
              <w:jc w:val="center"/>
              <w:rPr>
                <w:rFonts w:ascii="宋体" w:hAnsi="宋体" w:cs="Tahoma"/>
                <w:color w:val="000000" w:themeColor="text1"/>
                <w:kern w:val="0"/>
                <w:sz w:val="24"/>
                <w:szCs w:val="24"/>
              </w:rPr>
            </w:pPr>
            <w:r>
              <w:rPr>
                <w:rFonts w:hint="eastAsia" w:ascii="宋体" w:hAnsi="宋体" w:cs="Tahoma"/>
                <w:color w:val="000000" w:themeColor="text1"/>
                <w:kern w:val="0"/>
                <w:sz w:val="24"/>
                <w:szCs w:val="24"/>
              </w:rPr>
              <w:t>3214</w:t>
            </w:r>
          </w:p>
        </w:tc>
        <w:tc>
          <w:tcPr>
            <w:tcW w:w="1418" w:type="dxa"/>
            <w:vAlign w:val="center"/>
          </w:tcPr>
          <w:p>
            <w:pPr>
              <w:widowControl/>
              <w:spacing w:before="0" w:after="0" w:line="240" w:lineRule="auto"/>
              <w:ind w:left="0" w:firstLine="0"/>
              <w:jc w:val="center"/>
              <w:rPr>
                <w:rFonts w:ascii="宋体" w:hAnsi="宋体" w:cs="Tahoma"/>
                <w:color w:val="000000" w:themeColor="text1"/>
                <w:kern w:val="0"/>
                <w:sz w:val="22"/>
              </w:rPr>
            </w:pPr>
            <w:r>
              <w:rPr>
                <w:rFonts w:hint="eastAsia" w:ascii="宋体" w:hAnsi="宋体" w:cs="Tahoma"/>
                <w:color w:val="000000" w:themeColor="text1"/>
                <w:kern w:val="0"/>
                <w:sz w:val="22"/>
              </w:rPr>
              <w:t>900</w:t>
            </w:r>
          </w:p>
        </w:tc>
        <w:tc>
          <w:tcPr>
            <w:tcW w:w="2410" w:type="dxa"/>
          </w:tcPr>
          <w:p>
            <w:pPr>
              <w:widowControl/>
              <w:spacing w:line="240" w:lineRule="auto"/>
              <w:ind w:left="0" w:firstLine="0"/>
              <w:jc w:val="center"/>
              <w:rPr>
                <w:rFonts w:ascii="Times New Roman" w:hAnsi="Times New Roman"/>
                <w:bCs/>
                <w:color w:val="000000" w:themeColor="text1"/>
                <w:kern w:val="0"/>
                <w:sz w:val="24"/>
                <w:szCs w:val="18"/>
              </w:rPr>
            </w:pPr>
            <w:r>
              <w:rPr>
                <w:rFonts w:hint="eastAsia" w:ascii="Times New Roman" w:hAnsi="Times New Roman"/>
                <w:bCs/>
                <w:color w:val="000000" w:themeColor="text1"/>
                <w:kern w:val="0"/>
                <w:sz w:val="24"/>
                <w:szCs w:val="18"/>
              </w:rPr>
              <w:t>不含停车场面积及配套服务设施面积</w:t>
            </w:r>
          </w:p>
        </w:tc>
      </w:tr>
    </w:tbl>
    <w:p>
      <w:pPr>
        <w:widowControl/>
        <w:spacing w:line="240" w:lineRule="auto"/>
        <w:ind w:firstLine="0"/>
        <w:jc w:val="center"/>
        <w:rPr>
          <w:rFonts w:ascii="Times New Roman" w:hAnsi="Times New Roman"/>
          <w:b/>
          <w:bCs/>
          <w:color w:val="000000" w:themeColor="text1"/>
          <w:kern w:val="0"/>
          <w:sz w:val="24"/>
          <w:szCs w:val="18"/>
        </w:rPr>
      </w:pPr>
    </w:p>
    <w:p>
      <w:pPr>
        <w:widowControl/>
        <w:spacing w:before="0" w:after="0" w:line="240" w:lineRule="auto"/>
        <w:ind w:left="0" w:firstLine="0"/>
        <w:jc w:val="left"/>
        <w:rPr>
          <w:rFonts w:ascii="Times New Roman" w:hAnsi="Times New Roman"/>
          <w:b/>
          <w:bCs/>
          <w:color w:val="000000" w:themeColor="text1"/>
          <w:kern w:val="0"/>
          <w:sz w:val="24"/>
          <w:szCs w:val="18"/>
        </w:rPr>
      </w:pPr>
      <w:r>
        <w:rPr>
          <w:rFonts w:ascii="Times New Roman" w:hAnsi="Times New Roman"/>
          <w:b/>
          <w:bCs/>
          <w:color w:val="000000" w:themeColor="text1"/>
          <w:kern w:val="0"/>
          <w:sz w:val="24"/>
          <w:szCs w:val="18"/>
        </w:rPr>
        <w:br w:type="page"/>
      </w:r>
    </w:p>
    <w:p>
      <w:pPr>
        <w:widowControl/>
        <w:spacing w:line="240" w:lineRule="auto"/>
        <w:ind w:firstLine="0"/>
        <w:jc w:val="center"/>
        <w:rPr>
          <w:rFonts w:ascii="Times New Roman" w:hAnsi="Times New Roman"/>
          <w:b/>
          <w:bCs/>
          <w:color w:val="000000" w:themeColor="text1"/>
          <w:kern w:val="0"/>
          <w:sz w:val="24"/>
          <w:szCs w:val="18"/>
        </w:rPr>
      </w:pPr>
      <w:r>
        <w:rPr>
          <w:rFonts w:hint="eastAsia" w:ascii="Times New Roman" w:hAnsi="Times New Roman"/>
          <w:b/>
          <w:bCs/>
          <w:color w:val="000000" w:themeColor="text1"/>
          <w:kern w:val="0"/>
          <w:sz w:val="24"/>
          <w:szCs w:val="18"/>
        </w:rPr>
        <w:t>表3-3  中远期区级物流服务中心规划面积</w:t>
      </w:r>
    </w:p>
    <w:tbl>
      <w:tblPr>
        <w:tblStyle w:val="19"/>
        <w:tblW w:w="7894" w:type="dxa"/>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2268"/>
        <w:gridCol w:w="1418"/>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区</w:t>
            </w:r>
          </w:p>
        </w:tc>
        <w:tc>
          <w:tcPr>
            <w:tcW w:w="2268" w:type="dxa"/>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2025年快递业务量</w:t>
            </w:r>
          </w:p>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（万件）</w:t>
            </w:r>
          </w:p>
        </w:tc>
        <w:tc>
          <w:tcPr>
            <w:tcW w:w="1418" w:type="dxa"/>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面积</w:t>
            </w:r>
          </w:p>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（平方米）</w:t>
            </w:r>
          </w:p>
        </w:tc>
        <w:tc>
          <w:tcPr>
            <w:tcW w:w="2410" w:type="dxa"/>
          </w:tcPr>
          <w:p>
            <w:pPr>
              <w:widowControl/>
              <w:spacing w:line="240" w:lineRule="auto"/>
              <w:ind w:left="0" w:firstLine="0"/>
              <w:jc w:val="center"/>
              <w:rPr>
                <w:rFonts w:ascii="Times New Roman" w:hAnsi="Times New Roman"/>
                <w:b/>
                <w:bCs/>
                <w:color w:val="000000" w:themeColor="text1"/>
                <w:kern w:val="0"/>
                <w:sz w:val="24"/>
                <w:szCs w:val="18"/>
              </w:rPr>
            </w:pPr>
            <w:r>
              <w:rPr>
                <w:rFonts w:hint="eastAsia" w:ascii="Times New Roman" w:hAnsi="Times New Roman"/>
                <w:b/>
                <w:bCs/>
                <w:color w:val="000000" w:themeColor="text1"/>
                <w:kern w:val="0"/>
                <w:sz w:val="24"/>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Align w:val="center"/>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泉州台商投资区</w:t>
            </w:r>
          </w:p>
        </w:tc>
        <w:tc>
          <w:tcPr>
            <w:tcW w:w="2268" w:type="dxa"/>
            <w:vAlign w:val="center"/>
          </w:tcPr>
          <w:p>
            <w:pPr>
              <w:jc w:val="center"/>
              <w:rPr>
                <w:rFonts w:ascii="宋体" w:hAnsi="宋体" w:cs="Tahoma"/>
                <w:color w:val="000000" w:themeColor="text1"/>
                <w:kern w:val="0"/>
                <w:sz w:val="24"/>
                <w:szCs w:val="24"/>
              </w:rPr>
            </w:pPr>
            <w:r>
              <w:rPr>
                <w:rFonts w:ascii="Tahoma" w:hAnsi="Tahoma" w:cs="Tahoma"/>
                <w:color w:val="000000" w:themeColor="text1"/>
                <w:sz w:val="22"/>
              </w:rPr>
              <w:t>5223</w:t>
            </w:r>
          </w:p>
        </w:tc>
        <w:tc>
          <w:tcPr>
            <w:tcW w:w="1418" w:type="dxa"/>
            <w:vAlign w:val="center"/>
          </w:tcPr>
          <w:p>
            <w:pPr>
              <w:widowControl/>
              <w:spacing w:before="0" w:after="0" w:line="240" w:lineRule="auto"/>
              <w:ind w:left="0" w:firstLine="0"/>
              <w:jc w:val="center"/>
              <w:rPr>
                <w:rFonts w:ascii="宋体" w:hAnsi="宋体" w:cs="Tahoma"/>
                <w:color w:val="000000" w:themeColor="text1"/>
                <w:kern w:val="0"/>
                <w:sz w:val="22"/>
              </w:rPr>
            </w:pPr>
            <w:r>
              <w:rPr>
                <w:rFonts w:hint="eastAsia" w:ascii="宋体" w:hAnsi="宋体" w:cs="Tahoma"/>
                <w:color w:val="000000" w:themeColor="text1"/>
                <w:kern w:val="0"/>
                <w:sz w:val="22"/>
              </w:rPr>
              <w:t>1200</w:t>
            </w:r>
          </w:p>
        </w:tc>
        <w:tc>
          <w:tcPr>
            <w:tcW w:w="2410" w:type="dxa"/>
          </w:tcPr>
          <w:p>
            <w:pPr>
              <w:widowControl/>
              <w:spacing w:line="240" w:lineRule="auto"/>
              <w:ind w:left="0" w:firstLine="0"/>
              <w:jc w:val="center"/>
              <w:rPr>
                <w:rFonts w:ascii="Times New Roman" w:hAnsi="Times New Roman"/>
                <w:bCs/>
                <w:color w:val="000000" w:themeColor="text1"/>
                <w:kern w:val="0"/>
                <w:sz w:val="24"/>
                <w:szCs w:val="18"/>
              </w:rPr>
            </w:pPr>
            <w:r>
              <w:rPr>
                <w:rFonts w:hint="eastAsia" w:ascii="Times New Roman" w:hAnsi="Times New Roman"/>
                <w:bCs/>
                <w:color w:val="000000" w:themeColor="text1"/>
                <w:kern w:val="0"/>
                <w:sz w:val="24"/>
                <w:szCs w:val="18"/>
              </w:rPr>
              <w:t>不含停车场面积及配套服务设施面积</w:t>
            </w:r>
          </w:p>
        </w:tc>
      </w:tr>
    </w:tbl>
    <w:p>
      <w:pPr>
        <w:snapToGrid w:val="0"/>
        <w:spacing w:before="0" w:after="0" w:line="360" w:lineRule="auto"/>
        <w:ind w:firstLine="560" w:firstLineChars="200"/>
        <w:jc w:val="left"/>
        <w:rPr>
          <w:color w:val="000000" w:themeColor="text1"/>
          <w:kern w:val="0"/>
          <w:sz w:val="28"/>
        </w:rPr>
      </w:pPr>
      <w:r>
        <w:rPr>
          <w:rFonts w:hint="eastAsia"/>
          <w:color w:val="000000" w:themeColor="text1"/>
          <w:kern w:val="0"/>
          <w:sz w:val="28"/>
        </w:rPr>
        <w:t>设备配置如下：</w:t>
      </w:r>
    </w:p>
    <w:p>
      <w:pPr>
        <w:tabs>
          <w:tab w:val="left" w:pos="420"/>
        </w:tabs>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（1）办公设施设备。为物流中心管理人员、入驻物流、电商等企业提供的办公管理用房、办公设备等。</w:t>
      </w:r>
    </w:p>
    <w:p>
      <w:pPr>
        <w:tabs>
          <w:tab w:val="left" w:pos="420"/>
        </w:tabs>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（2）物流设施设备。包括零担中转库、普通仓储库、冷藏冷冻库、堆场、停车场、装卸作业区等设施，以及货架、托盘、叉车、分拣设备、X光安检仪等设备。</w:t>
      </w:r>
    </w:p>
    <w:p>
      <w:pPr>
        <w:tabs>
          <w:tab w:val="left" w:pos="420"/>
        </w:tabs>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（3）信息服务设备。包括信息交换、通信、电子显示、监控设备，条码扫描器、电脑或显示设备、无线WIFI路由器、移动信息终端等。</w:t>
      </w:r>
    </w:p>
    <w:p>
      <w:pPr>
        <w:tabs>
          <w:tab w:val="left" w:pos="420"/>
        </w:tabs>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（4）配套设施设备。包括餐饮、超市、车辆维修、清洗等设施设备。</w:t>
      </w:r>
    </w:p>
    <w:p>
      <w:pPr>
        <w:pStyle w:val="4"/>
        <w:widowControl/>
        <w:spacing w:before="240" w:after="60" w:line="240" w:lineRule="auto"/>
        <w:ind w:left="0" w:firstLine="0"/>
        <w:jc w:val="left"/>
        <w:rPr>
          <w:rFonts w:ascii="宋体" w:hAnsi="宋体" w:cs="宋体"/>
          <w:color w:val="000000" w:themeColor="text1"/>
          <w:sz w:val="28"/>
          <w:szCs w:val="28"/>
        </w:rPr>
      </w:pPr>
      <w:r>
        <w:rPr>
          <w:rFonts w:hint="eastAsia" w:eastAsia="黑体"/>
          <w:bCs/>
          <w:color w:val="000000" w:themeColor="text1"/>
          <w:sz w:val="30"/>
          <w:szCs w:val="30"/>
          <w:lang w:bidi="en-US"/>
        </w:rPr>
        <w:t>3.5.2 乡镇农村物流服务站</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1.选址</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农村物流发展问题主要有农村居民物流意识薄弱，农村生产力水平较低，农村物流服务站点建设投入不足。好的农村物流服务站点选址可以有效地降低运输成本,节省存储费用,提高运输质量，确保农村物流网络系统的快速发展。在选址的时候要考虑的因素：</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站点的面积、站点信息化程度以及站点技术装备水平。站点的面积大小影响站点开展农村物流服务的能力，合理的站点面积有利于增强运营能力。信息化程度是农村物流服务站点新的生产力，信息化水平反映了站点接受信息、处理信息的能力，较高的信息化程度有助于提高站点的运转效率。技术装备水平是评价站点发展水平的重要因素，为物流服务站的正常运转提供了保障。</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交通条件因素，主要包括站点所在地理区位、站点周边交通条件。农村物流服务站点是农产品、农资产品及日用消费品的集散地，好的地理区位可以提高服务的便利性，同时可以降低物流成本。站点周边交通条件便利为实现规模运输、大量货物吞吐创造了条件，从而提高站点的竞争力。</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政策环境因素，当地政府的支持程度以及提供的扶持政策直接影响农村物流相关企业的投资积极性。政策环境主要影响因素有站点用地的可得性、规划衔接性、站点建设资金补助。结合《农村物流网络节点体系建设指南》，对农村物流服务站点进行选址。</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泉州台商投资区的4个乡镇级农村物流服务站可选址在现有的农村乡镇客运站场，按照客运、物流、邮政、电商等“多站合一”的模式，对乡镇客运站和服务设施进行升级改造。乡镇物流服务站的建设釆取政策引导，资金鼓励等办法，充分利用运管所的客运、货运及信息资源，实现资源充分利用及有效整合，将运输管理站、农村客运、农村物流、农村公路养护进行融合。</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2.功能</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按照“多站合一”的模式，建设具有货物仓储、邮政快递、“三农”服务项目、再生资源回收、农资、农产品代购代销和配送等功能的镇级农村物流综合服务站，为周边乡镇提供综合物流服务，对上连接市级集散中心，对下连接村级物流配送点。具体功能包括以下：</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（1）快递包裹收寄功能：能将快递包裹及时、有序地送到村级物流网点；也可以将服务点寄出的包裹及时收取并送至区级农村物流中心进行中转。</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信息收集和发布功能：乡镇物流服务站在农村物流网络中起到承上启下的作用，负责本乡镇货物的收集与发送，农副产品的调研与统计，物资需求信息、市场行情等信息的统计与发布。发布各种物流信息，让车找货、货找车更加容易，让广大农民朋友从物流信息中受益。</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电商产品展示、代销代购功能。通过电商平台进行代购、代销服务，提供物流寄、送以及其它综合性生活服务等；组织开展农业生产资料网上团购和农副产品、手工艺品等产品网上预售，提高农村地区综合服务功能；网购商品售后服务等。</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农产品收储、代购功能。农产品收储是通过货币交换形式收购农产品中的商品性部分的经济活动，搞好农产品收购，对于促进工农业生产的发展，繁荣城乡经济，满足人民群众的生活需要，具有重要的作用。同时还要能提供农产品的储存服务，鲜活农产品存在含水量高,保鲜期短、极易腐烂变质等问题,这就大大限制了交易时间,因此,对运输效率和仓储保鲜条件就提出了很高的要求，根据实际需要能配备好相应的设施设备，提供农产品储存功能。农产品代购是为便于群众交售农副产品，商业企业可托当地农村物流服务站收购。</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（4）客运站功能。客运站旅客与货物产生空间位移的起止点和集疏场所。能够提供三种售票方式：售票大厅购票、扫码购票。也是旅客候车、办理售票、行包托取和寄存以及各种旅行手续的场所。</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（6）农产品配送功能。组织当地适销的农产品，统一向区级物流服务中心配送。与县农村物流服务中心对接，实现商品自提、送货上门，解决农村物流最后1公里配送问题。</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3.布局</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（1）合理划分功能，一般可以划分为：快递包裹作业区、农村电商服务区、货物堆存中转区、物流信息交易区、便民服务区。</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（2）布局相对紧凑，各功能区块设施相互交叉利用。</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4.设施设备配备</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根据2019年-2025年预测的每个镇的快递业务量，完成近期和中远期所有乡镇级物流服务站的建设，具体见表3-4和表3-5。</w:t>
      </w:r>
    </w:p>
    <w:p>
      <w:pPr>
        <w:widowControl/>
        <w:spacing w:before="0" w:after="0" w:line="240" w:lineRule="auto"/>
        <w:ind w:firstLine="0"/>
        <w:jc w:val="center"/>
        <w:rPr>
          <w:rFonts w:ascii="Times New Roman" w:hAnsi="Times New Roman"/>
          <w:b/>
          <w:bCs/>
          <w:color w:val="000000" w:themeColor="text1"/>
          <w:kern w:val="0"/>
          <w:sz w:val="24"/>
          <w:szCs w:val="18"/>
        </w:rPr>
      </w:pPr>
      <w:r>
        <w:rPr>
          <w:rFonts w:hint="eastAsia" w:ascii="Times New Roman" w:hAnsi="Times New Roman"/>
          <w:b/>
          <w:bCs/>
          <w:color w:val="000000" w:themeColor="text1"/>
          <w:kern w:val="0"/>
          <w:sz w:val="24"/>
          <w:szCs w:val="18"/>
        </w:rPr>
        <w:t>表3-4  近期乡镇级物流服务站规划面积</w:t>
      </w:r>
    </w:p>
    <w:tbl>
      <w:tblPr>
        <w:tblStyle w:val="18"/>
        <w:tblW w:w="7560" w:type="dxa"/>
        <w:jc w:val="center"/>
        <w:tblInd w:w="0" w:type="dxa"/>
        <w:tblLayout w:type="fixed"/>
        <w:tblCellMar>
          <w:top w:w="0" w:type="dxa"/>
          <w:left w:w="108" w:type="dxa"/>
          <w:bottom w:w="0" w:type="dxa"/>
          <w:right w:w="108" w:type="dxa"/>
        </w:tblCellMar>
      </w:tblPr>
      <w:tblGrid>
        <w:gridCol w:w="2080"/>
        <w:gridCol w:w="3025"/>
        <w:gridCol w:w="1375"/>
        <w:gridCol w:w="1080"/>
      </w:tblGrid>
      <w:tr>
        <w:tblPrEx>
          <w:tblLayout w:type="fixed"/>
          <w:tblCellMar>
            <w:top w:w="0" w:type="dxa"/>
            <w:left w:w="108" w:type="dxa"/>
            <w:bottom w:w="0" w:type="dxa"/>
            <w:right w:w="108" w:type="dxa"/>
          </w:tblCellMar>
        </w:tblPrEx>
        <w:trPr>
          <w:trHeight w:val="30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乡镇</w:t>
            </w:r>
          </w:p>
        </w:tc>
        <w:tc>
          <w:tcPr>
            <w:tcW w:w="3025" w:type="dxa"/>
            <w:tcBorders>
              <w:top w:val="single" w:color="auto" w:sz="4" w:space="0"/>
              <w:left w:val="nil"/>
              <w:bottom w:val="single" w:color="auto" w:sz="4" w:space="0"/>
              <w:right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2020年快递业务量</w:t>
            </w:r>
          </w:p>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（万件）</w:t>
            </w:r>
          </w:p>
        </w:tc>
        <w:tc>
          <w:tcPr>
            <w:tcW w:w="1375" w:type="dxa"/>
            <w:tcBorders>
              <w:top w:val="single" w:color="auto" w:sz="4" w:space="0"/>
              <w:left w:val="nil"/>
              <w:bottom w:val="single" w:color="auto" w:sz="4" w:space="0"/>
              <w:right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面积</w:t>
            </w:r>
          </w:p>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（平方米）</w:t>
            </w:r>
          </w:p>
        </w:tc>
        <w:tc>
          <w:tcPr>
            <w:tcW w:w="1080" w:type="dxa"/>
            <w:tcBorders>
              <w:top w:val="single" w:color="auto" w:sz="4" w:space="0"/>
              <w:left w:val="nil"/>
              <w:bottom w:val="single" w:color="auto" w:sz="4" w:space="0"/>
              <w:right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备注</w:t>
            </w:r>
          </w:p>
        </w:tc>
      </w:tr>
      <w:tr>
        <w:tblPrEx>
          <w:tblLayout w:type="fixed"/>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百崎回族乡</w:t>
            </w:r>
          </w:p>
        </w:tc>
        <w:tc>
          <w:tcPr>
            <w:tcW w:w="3025" w:type="dxa"/>
            <w:tcBorders>
              <w:top w:val="nil"/>
              <w:left w:val="nil"/>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kern w:val="0"/>
                <w:sz w:val="24"/>
                <w:szCs w:val="24"/>
              </w:rPr>
            </w:pPr>
            <w:r>
              <w:rPr>
                <w:rFonts w:ascii="宋体" w:hAnsi="宋体" w:cs="Tahoma"/>
                <w:color w:val="000000"/>
                <w:kern w:val="0"/>
                <w:sz w:val="24"/>
                <w:szCs w:val="24"/>
              </w:rPr>
              <w:t>320.28</w:t>
            </w:r>
          </w:p>
        </w:tc>
        <w:tc>
          <w:tcPr>
            <w:tcW w:w="1375" w:type="dxa"/>
            <w:tcBorders>
              <w:top w:val="nil"/>
              <w:left w:val="nil"/>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r>
              <w:rPr>
                <w:rFonts w:hint="eastAsia" w:ascii="宋体" w:hAnsi="宋体" w:cs="Tahoma"/>
                <w:color w:val="000000" w:themeColor="text1"/>
                <w:kern w:val="0"/>
                <w:sz w:val="22"/>
                <w:szCs w:val="22"/>
              </w:rPr>
              <w:t>　150</w:t>
            </w:r>
          </w:p>
        </w:tc>
        <w:tc>
          <w:tcPr>
            <w:tcW w:w="1080" w:type="dxa"/>
            <w:vMerge w:val="restart"/>
            <w:tcBorders>
              <w:top w:val="nil"/>
              <w:left w:val="nil"/>
              <w:right w:val="single" w:color="auto" w:sz="4" w:space="0"/>
            </w:tcBorders>
            <w:shd w:val="clear" w:color="auto" w:fill="auto"/>
            <w:vAlign w:val="center"/>
          </w:tcPr>
          <w:p>
            <w:pPr>
              <w:widowControl/>
              <w:spacing w:before="0" w:after="0" w:line="240" w:lineRule="auto"/>
              <w:ind w:left="0" w:firstLine="0"/>
              <w:rPr>
                <w:rFonts w:ascii="宋体" w:hAnsi="宋体" w:cs="Tahoma"/>
                <w:color w:val="000000" w:themeColor="text1"/>
                <w:kern w:val="0"/>
                <w:sz w:val="22"/>
                <w:szCs w:val="22"/>
              </w:rPr>
            </w:pPr>
            <w:r>
              <w:rPr>
                <w:rFonts w:hint="eastAsia" w:ascii="宋体" w:hAnsi="宋体" w:cs="Tahoma"/>
                <w:color w:val="000000" w:themeColor="text1"/>
                <w:kern w:val="0"/>
                <w:sz w:val="22"/>
                <w:szCs w:val="22"/>
              </w:rPr>
              <w:t>不含停车场面积　　</w:t>
            </w:r>
          </w:p>
        </w:tc>
      </w:tr>
      <w:tr>
        <w:tblPrEx>
          <w:tblLayout w:type="fixed"/>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洛阳镇</w:t>
            </w:r>
          </w:p>
        </w:tc>
        <w:tc>
          <w:tcPr>
            <w:tcW w:w="3025" w:type="dxa"/>
            <w:tcBorders>
              <w:top w:val="nil"/>
              <w:left w:val="nil"/>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kern w:val="0"/>
                <w:sz w:val="24"/>
                <w:szCs w:val="24"/>
              </w:rPr>
            </w:pPr>
            <w:r>
              <w:rPr>
                <w:rFonts w:ascii="宋体" w:hAnsi="宋体" w:cs="Tahoma"/>
                <w:color w:val="000000"/>
                <w:kern w:val="0"/>
                <w:sz w:val="24"/>
                <w:szCs w:val="24"/>
              </w:rPr>
              <w:t>863.34</w:t>
            </w:r>
          </w:p>
        </w:tc>
        <w:tc>
          <w:tcPr>
            <w:tcW w:w="1375" w:type="dxa"/>
            <w:tcBorders>
              <w:top w:val="nil"/>
              <w:left w:val="nil"/>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r>
              <w:rPr>
                <w:rFonts w:hint="eastAsia" w:ascii="宋体" w:hAnsi="宋体" w:cs="Tahoma"/>
                <w:color w:val="000000" w:themeColor="text1"/>
                <w:kern w:val="0"/>
                <w:sz w:val="22"/>
                <w:szCs w:val="22"/>
              </w:rPr>
              <w:t>　200</w:t>
            </w:r>
          </w:p>
        </w:tc>
        <w:tc>
          <w:tcPr>
            <w:tcW w:w="1080" w:type="dxa"/>
            <w:vMerge w:val="continue"/>
            <w:tcBorders>
              <w:left w:val="nil"/>
              <w:right w:val="single" w:color="auto" w:sz="4" w:space="0"/>
            </w:tcBorders>
            <w:shd w:val="clear" w:color="auto" w:fill="auto"/>
            <w:vAlign w:val="bottom"/>
          </w:tcPr>
          <w:p>
            <w:pPr>
              <w:spacing w:before="0" w:after="0" w:line="240" w:lineRule="auto"/>
              <w:ind w:left="0" w:firstLine="0"/>
              <w:jc w:val="left"/>
              <w:rPr>
                <w:rFonts w:ascii="宋体" w:hAnsi="宋体" w:cs="Tahoma"/>
                <w:color w:val="000000" w:themeColor="text1"/>
                <w:kern w:val="0"/>
                <w:sz w:val="22"/>
                <w:szCs w:val="22"/>
              </w:rPr>
            </w:pPr>
          </w:p>
        </w:tc>
      </w:tr>
      <w:tr>
        <w:tblPrEx>
          <w:tblLayout w:type="fixed"/>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东园镇</w:t>
            </w:r>
          </w:p>
        </w:tc>
        <w:tc>
          <w:tcPr>
            <w:tcW w:w="3025" w:type="dxa"/>
            <w:tcBorders>
              <w:top w:val="nil"/>
              <w:left w:val="nil"/>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kern w:val="0"/>
                <w:sz w:val="24"/>
                <w:szCs w:val="24"/>
              </w:rPr>
            </w:pPr>
            <w:r>
              <w:rPr>
                <w:rFonts w:ascii="宋体" w:hAnsi="宋体" w:cs="Tahoma"/>
                <w:color w:val="000000"/>
                <w:kern w:val="0"/>
                <w:sz w:val="24"/>
                <w:szCs w:val="24"/>
              </w:rPr>
              <w:t>1283.78</w:t>
            </w:r>
          </w:p>
        </w:tc>
        <w:tc>
          <w:tcPr>
            <w:tcW w:w="1375" w:type="dxa"/>
            <w:tcBorders>
              <w:top w:val="nil"/>
              <w:left w:val="nil"/>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r>
              <w:rPr>
                <w:rFonts w:hint="eastAsia" w:ascii="宋体" w:hAnsi="宋体" w:cs="Tahoma"/>
                <w:color w:val="000000" w:themeColor="text1"/>
                <w:kern w:val="0"/>
                <w:sz w:val="22"/>
                <w:szCs w:val="22"/>
              </w:rPr>
              <w:t>　250</w:t>
            </w:r>
          </w:p>
        </w:tc>
        <w:tc>
          <w:tcPr>
            <w:tcW w:w="1080" w:type="dxa"/>
            <w:vMerge w:val="continue"/>
            <w:tcBorders>
              <w:left w:val="nil"/>
              <w:right w:val="single" w:color="auto" w:sz="4" w:space="0"/>
            </w:tcBorders>
            <w:shd w:val="clear" w:color="auto" w:fill="auto"/>
            <w:vAlign w:val="bottom"/>
          </w:tcPr>
          <w:p>
            <w:pPr>
              <w:spacing w:before="0" w:after="0" w:line="240" w:lineRule="auto"/>
              <w:ind w:left="0" w:firstLine="0"/>
              <w:jc w:val="left"/>
              <w:rPr>
                <w:rFonts w:ascii="宋体" w:hAnsi="宋体" w:cs="Tahoma"/>
                <w:color w:val="000000" w:themeColor="text1"/>
                <w:kern w:val="0"/>
                <w:sz w:val="22"/>
                <w:szCs w:val="22"/>
              </w:rPr>
            </w:pPr>
          </w:p>
        </w:tc>
      </w:tr>
      <w:tr>
        <w:tblPrEx>
          <w:tblLayout w:type="fixed"/>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张坂镇</w:t>
            </w:r>
          </w:p>
        </w:tc>
        <w:tc>
          <w:tcPr>
            <w:tcW w:w="3025" w:type="dxa"/>
            <w:tcBorders>
              <w:top w:val="nil"/>
              <w:left w:val="nil"/>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kern w:val="0"/>
                <w:sz w:val="24"/>
                <w:szCs w:val="24"/>
              </w:rPr>
            </w:pPr>
            <w:r>
              <w:rPr>
                <w:rFonts w:ascii="宋体" w:hAnsi="宋体" w:cs="Tahoma"/>
                <w:color w:val="000000"/>
                <w:kern w:val="0"/>
                <w:sz w:val="24"/>
                <w:szCs w:val="24"/>
              </w:rPr>
              <w:t>746.59</w:t>
            </w:r>
          </w:p>
        </w:tc>
        <w:tc>
          <w:tcPr>
            <w:tcW w:w="1375" w:type="dxa"/>
            <w:tcBorders>
              <w:top w:val="nil"/>
              <w:left w:val="nil"/>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r>
              <w:rPr>
                <w:rFonts w:hint="eastAsia" w:ascii="宋体" w:hAnsi="宋体" w:cs="Tahoma"/>
                <w:color w:val="000000" w:themeColor="text1"/>
                <w:kern w:val="0"/>
                <w:sz w:val="22"/>
                <w:szCs w:val="22"/>
              </w:rPr>
              <w:t>　200</w:t>
            </w:r>
          </w:p>
        </w:tc>
        <w:tc>
          <w:tcPr>
            <w:tcW w:w="1080" w:type="dxa"/>
            <w:vMerge w:val="continue"/>
            <w:tcBorders>
              <w:left w:val="nil"/>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p>
        </w:tc>
      </w:tr>
    </w:tbl>
    <w:p>
      <w:pPr>
        <w:widowControl/>
        <w:spacing w:before="0" w:after="0" w:line="240" w:lineRule="auto"/>
        <w:ind w:left="0" w:firstLine="0"/>
        <w:jc w:val="center"/>
        <w:rPr>
          <w:rFonts w:ascii="Times New Roman" w:hAnsi="Times New Roman"/>
          <w:b/>
          <w:bCs/>
          <w:color w:val="000000" w:themeColor="text1"/>
          <w:kern w:val="0"/>
          <w:sz w:val="24"/>
          <w:szCs w:val="18"/>
        </w:rPr>
      </w:pPr>
    </w:p>
    <w:p>
      <w:pPr>
        <w:widowControl/>
        <w:spacing w:before="0" w:after="0" w:line="240" w:lineRule="auto"/>
        <w:ind w:left="0" w:firstLine="0"/>
        <w:jc w:val="center"/>
        <w:rPr>
          <w:rFonts w:ascii="Times New Roman" w:hAnsi="Times New Roman"/>
          <w:b/>
          <w:bCs/>
          <w:color w:val="000000" w:themeColor="text1"/>
          <w:kern w:val="0"/>
          <w:sz w:val="24"/>
          <w:szCs w:val="18"/>
        </w:rPr>
      </w:pPr>
      <w:r>
        <w:rPr>
          <w:rFonts w:hint="eastAsia" w:ascii="Times New Roman" w:hAnsi="Times New Roman"/>
          <w:b/>
          <w:bCs/>
          <w:color w:val="000000" w:themeColor="text1"/>
          <w:kern w:val="0"/>
          <w:sz w:val="24"/>
          <w:szCs w:val="18"/>
        </w:rPr>
        <w:t>表3-5  中远期乡镇级物流服务站规划面积</w:t>
      </w:r>
    </w:p>
    <w:tbl>
      <w:tblPr>
        <w:tblStyle w:val="18"/>
        <w:tblW w:w="7560" w:type="dxa"/>
        <w:jc w:val="center"/>
        <w:tblInd w:w="0" w:type="dxa"/>
        <w:tblLayout w:type="fixed"/>
        <w:tblCellMar>
          <w:top w:w="0" w:type="dxa"/>
          <w:left w:w="108" w:type="dxa"/>
          <w:bottom w:w="0" w:type="dxa"/>
          <w:right w:w="108" w:type="dxa"/>
        </w:tblCellMar>
      </w:tblPr>
      <w:tblGrid>
        <w:gridCol w:w="2080"/>
        <w:gridCol w:w="3025"/>
        <w:gridCol w:w="1417"/>
        <w:gridCol w:w="1038"/>
      </w:tblGrid>
      <w:tr>
        <w:tblPrEx>
          <w:tblLayout w:type="fixed"/>
          <w:tblCellMar>
            <w:top w:w="0" w:type="dxa"/>
            <w:left w:w="108" w:type="dxa"/>
            <w:bottom w:w="0" w:type="dxa"/>
            <w:right w:w="108" w:type="dxa"/>
          </w:tblCellMar>
        </w:tblPrEx>
        <w:trPr>
          <w:trHeight w:val="315"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乡镇</w:t>
            </w:r>
          </w:p>
        </w:tc>
        <w:tc>
          <w:tcPr>
            <w:tcW w:w="3025" w:type="dxa"/>
            <w:tcBorders>
              <w:top w:val="single" w:color="auto" w:sz="4" w:space="0"/>
              <w:left w:val="nil"/>
              <w:bottom w:val="single" w:color="auto" w:sz="4" w:space="0"/>
              <w:right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2025年快递业务量</w:t>
            </w:r>
          </w:p>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（万件）</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面积</w:t>
            </w:r>
          </w:p>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（平方米）</w:t>
            </w:r>
          </w:p>
        </w:tc>
        <w:tc>
          <w:tcPr>
            <w:tcW w:w="1038" w:type="dxa"/>
            <w:tcBorders>
              <w:top w:val="single" w:color="auto" w:sz="4" w:space="0"/>
              <w:left w:val="nil"/>
              <w:bottom w:val="single" w:color="auto" w:sz="4" w:space="0"/>
              <w:right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备注</w:t>
            </w:r>
          </w:p>
        </w:tc>
      </w:tr>
      <w:tr>
        <w:tblPrEx>
          <w:tblLayout w:type="fixed"/>
          <w:tblCellMar>
            <w:top w:w="0" w:type="dxa"/>
            <w:left w:w="108" w:type="dxa"/>
            <w:bottom w:w="0" w:type="dxa"/>
            <w:right w:w="108" w:type="dxa"/>
          </w:tblCellMar>
        </w:tblPrEx>
        <w:trPr>
          <w:trHeight w:val="330" w:hRule="atLeast"/>
          <w:jc w:val="center"/>
        </w:trPr>
        <w:tc>
          <w:tcPr>
            <w:tcW w:w="2080" w:type="dxa"/>
            <w:tcBorders>
              <w:top w:val="nil"/>
              <w:left w:val="single" w:color="auto" w:sz="4" w:space="0"/>
              <w:bottom w:val="single" w:color="auto" w:sz="4" w:space="0"/>
              <w:right w:val="single" w:color="auto" w:sz="4" w:space="0"/>
            </w:tcBorders>
            <w:shd w:val="clear" w:color="auto" w:fill="auto"/>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百崎回族乡</w:t>
            </w:r>
          </w:p>
        </w:tc>
        <w:tc>
          <w:tcPr>
            <w:tcW w:w="3025" w:type="dxa"/>
            <w:tcBorders>
              <w:top w:val="single" w:color="auto" w:sz="8" w:space="0"/>
              <w:left w:val="single" w:color="auto" w:sz="8" w:space="0"/>
              <w:bottom w:val="single" w:color="auto" w:sz="8" w:space="0"/>
              <w:right w:val="single" w:color="auto" w:sz="8" w:space="0"/>
            </w:tcBorders>
            <w:shd w:val="clear" w:color="auto" w:fill="auto"/>
            <w:vAlign w:val="bottom"/>
          </w:tcPr>
          <w:p>
            <w:pPr>
              <w:widowControl/>
              <w:spacing w:before="0" w:after="0" w:line="240" w:lineRule="auto"/>
              <w:ind w:left="0" w:firstLine="0"/>
              <w:jc w:val="center"/>
              <w:rPr>
                <w:rFonts w:ascii="Times New Roman" w:hAnsi="Times New Roman"/>
                <w:color w:val="000000" w:themeColor="text1"/>
                <w:kern w:val="0"/>
                <w:sz w:val="24"/>
                <w:szCs w:val="24"/>
              </w:rPr>
            </w:pPr>
            <w:r>
              <w:rPr>
                <w:rFonts w:ascii="Times New Roman" w:hAnsi="Times New Roman"/>
                <w:color w:val="000000" w:themeColor="text1"/>
                <w:kern w:val="0"/>
                <w:sz w:val="24"/>
                <w:szCs w:val="24"/>
              </w:rPr>
              <w:t>520.48</w:t>
            </w:r>
          </w:p>
        </w:tc>
        <w:tc>
          <w:tcPr>
            <w:tcW w:w="1417"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r>
              <w:rPr>
                <w:rFonts w:hint="eastAsia" w:ascii="宋体" w:hAnsi="宋体" w:cs="Tahoma"/>
                <w:color w:val="000000" w:themeColor="text1"/>
                <w:kern w:val="0"/>
                <w:sz w:val="22"/>
                <w:szCs w:val="22"/>
              </w:rPr>
              <w:t>　150</w:t>
            </w:r>
          </w:p>
        </w:tc>
        <w:tc>
          <w:tcPr>
            <w:tcW w:w="1038" w:type="dxa"/>
            <w:vMerge w:val="restart"/>
            <w:tcBorders>
              <w:top w:val="nil"/>
              <w:left w:val="nil"/>
              <w:right w:val="single" w:color="auto" w:sz="4" w:space="0"/>
            </w:tcBorders>
            <w:shd w:val="clear" w:color="auto" w:fill="auto"/>
            <w:vAlign w:val="center"/>
          </w:tcPr>
          <w:p>
            <w:pPr>
              <w:widowControl/>
              <w:spacing w:before="0" w:after="0" w:line="240" w:lineRule="auto"/>
              <w:ind w:left="0" w:firstLine="0"/>
              <w:rPr>
                <w:rFonts w:ascii="宋体" w:hAnsi="宋体" w:cs="Tahoma"/>
                <w:color w:val="000000" w:themeColor="text1"/>
                <w:kern w:val="0"/>
                <w:sz w:val="22"/>
                <w:szCs w:val="22"/>
              </w:rPr>
            </w:pPr>
            <w:r>
              <w:rPr>
                <w:rFonts w:hint="eastAsia" w:ascii="宋体" w:hAnsi="宋体" w:cs="Tahoma"/>
                <w:color w:val="000000" w:themeColor="text1"/>
                <w:kern w:val="0"/>
                <w:sz w:val="22"/>
                <w:szCs w:val="22"/>
              </w:rPr>
              <w:t>不含停车场面积　</w:t>
            </w:r>
          </w:p>
        </w:tc>
      </w:tr>
      <w:tr>
        <w:tblPrEx>
          <w:tblLayout w:type="fixed"/>
          <w:tblCellMar>
            <w:top w:w="0" w:type="dxa"/>
            <w:left w:w="108" w:type="dxa"/>
            <w:bottom w:w="0" w:type="dxa"/>
            <w:right w:w="108" w:type="dxa"/>
          </w:tblCellMar>
        </w:tblPrEx>
        <w:trPr>
          <w:trHeight w:val="33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洛阳镇</w:t>
            </w:r>
          </w:p>
        </w:tc>
        <w:tc>
          <w:tcPr>
            <w:tcW w:w="3025" w:type="dxa"/>
            <w:tcBorders>
              <w:top w:val="nil"/>
              <w:left w:val="nil"/>
              <w:bottom w:val="single" w:color="auto" w:sz="8" w:space="0"/>
              <w:right w:val="single" w:color="auto" w:sz="8" w:space="0"/>
            </w:tcBorders>
            <w:shd w:val="clear" w:color="auto" w:fill="auto"/>
            <w:vAlign w:val="bottom"/>
          </w:tcPr>
          <w:p>
            <w:pPr>
              <w:widowControl/>
              <w:spacing w:before="0" w:after="0" w:line="240" w:lineRule="auto"/>
              <w:ind w:left="0" w:firstLine="0"/>
              <w:jc w:val="center"/>
              <w:rPr>
                <w:rFonts w:ascii="Times New Roman" w:hAnsi="Times New Roman"/>
                <w:color w:val="000000" w:themeColor="text1"/>
                <w:kern w:val="0"/>
                <w:sz w:val="24"/>
                <w:szCs w:val="24"/>
              </w:rPr>
            </w:pPr>
            <w:r>
              <w:rPr>
                <w:rFonts w:ascii="Times New Roman" w:hAnsi="Times New Roman"/>
                <w:color w:val="000000" w:themeColor="text1"/>
                <w:kern w:val="0"/>
                <w:sz w:val="24"/>
                <w:szCs w:val="24"/>
              </w:rPr>
              <w:t>1403</w:t>
            </w:r>
          </w:p>
        </w:tc>
        <w:tc>
          <w:tcPr>
            <w:tcW w:w="1417"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r>
              <w:rPr>
                <w:rFonts w:hint="eastAsia" w:ascii="宋体" w:hAnsi="宋体" w:cs="Tahoma"/>
                <w:color w:val="000000" w:themeColor="text1"/>
                <w:kern w:val="0"/>
                <w:sz w:val="22"/>
                <w:szCs w:val="22"/>
              </w:rPr>
              <w:t>　250</w:t>
            </w:r>
          </w:p>
        </w:tc>
        <w:tc>
          <w:tcPr>
            <w:tcW w:w="1038" w:type="dxa"/>
            <w:vMerge w:val="continue"/>
            <w:tcBorders>
              <w:left w:val="nil"/>
              <w:right w:val="single" w:color="auto" w:sz="4" w:space="0"/>
            </w:tcBorders>
            <w:shd w:val="clear" w:color="auto" w:fill="auto"/>
            <w:vAlign w:val="bottom"/>
          </w:tcPr>
          <w:p>
            <w:pPr>
              <w:spacing w:before="0" w:after="0" w:line="240" w:lineRule="auto"/>
              <w:ind w:left="0" w:firstLine="0"/>
              <w:jc w:val="left"/>
              <w:rPr>
                <w:rFonts w:ascii="宋体" w:hAnsi="宋体" w:cs="Tahoma"/>
                <w:color w:val="000000" w:themeColor="text1"/>
                <w:kern w:val="0"/>
                <w:sz w:val="22"/>
                <w:szCs w:val="22"/>
              </w:rPr>
            </w:pPr>
          </w:p>
        </w:tc>
      </w:tr>
      <w:tr>
        <w:tblPrEx>
          <w:tblLayout w:type="fixed"/>
          <w:tblCellMar>
            <w:top w:w="0" w:type="dxa"/>
            <w:left w:w="108" w:type="dxa"/>
            <w:bottom w:w="0" w:type="dxa"/>
            <w:right w:w="108" w:type="dxa"/>
          </w:tblCellMar>
        </w:tblPrEx>
        <w:trPr>
          <w:trHeight w:val="33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东园镇</w:t>
            </w:r>
          </w:p>
        </w:tc>
        <w:tc>
          <w:tcPr>
            <w:tcW w:w="3025" w:type="dxa"/>
            <w:tcBorders>
              <w:top w:val="nil"/>
              <w:left w:val="nil"/>
              <w:bottom w:val="single" w:color="auto" w:sz="8" w:space="0"/>
              <w:right w:val="single" w:color="auto" w:sz="8" w:space="0"/>
            </w:tcBorders>
            <w:shd w:val="clear" w:color="auto" w:fill="auto"/>
            <w:vAlign w:val="bottom"/>
          </w:tcPr>
          <w:p>
            <w:pPr>
              <w:widowControl/>
              <w:spacing w:before="0" w:after="0" w:line="240" w:lineRule="auto"/>
              <w:ind w:left="0" w:firstLine="0"/>
              <w:jc w:val="center"/>
              <w:rPr>
                <w:rFonts w:ascii="Times New Roman" w:hAnsi="Times New Roman"/>
                <w:color w:val="000000" w:themeColor="text1"/>
                <w:kern w:val="0"/>
                <w:sz w:val="24"/>
                <w:szCs w:val="24"/>
              </w:rPr>
            </w:pPr>
            <w:r>
              <w:rPr>
                <w:rFonts w:ascii="Times New Roman" w:hAnsi="Times New Roman"/>
                <w:color w:val="000000" w:themeColor="text1"/>
                <w:kern w:val="0"/>
                <w:sz w:val="24"/>
                <w:szCs w:val="24"/>
              </w:rPr>
              <w:t>2086.25</w:t>
            </w:r>
          </w:p>
        </w:tc>
        <w:tc>
          <w:tcPr>
            <w:tcW w:w="1417"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r>
              <w:rPr>
                <w:rFonts w:hint="eastAsia" w:ascii="宋体" w:hAnsi="宋体" w:cs="Tahoma"/>
                <w:color w:val="000000" w:themeColor="text1"/>
                <w:kern w:val="0"/>
                <w:sz w:val="22"/>
                <w:szCs w:val="22"/>
              </w:rPr>
              <w:t>　300</w:t>
            </w:r>
          </w:p>
        </w:tc>
        <w:tc>
          <w:tcPr>
            <w:tcW w:w="1038" w:type="dxa"/>
            <w:vMerge w:val="continue"/>
            <w:tcBorders>
              <w:left w:val="nil"/>
              <w:right w:val="single" w:color="auto" w:sz="4" w:space="0"/>
            </w:tcBorders>
            <w:shd w:val="clear" w:color="auto" w:fill="auto"/>
            <w:vAlign w:val="bottom"/>
          </w:tcPr>
          <w:p>
            <w:pPr>
              <w:spacing w:before="0" w:after="0" w:line="240" w:lineRule="auto"/>
              <w:ind w:left="0" w:firstLine="0"/>
              <w:jc w:val="left"/>
              <w:rPr>
                <w:rFonts w:ascii="宋体" w:hAnsi="宋体" w:cs="Tahoma"/>
                <w:color w:val="000000" w:themeColor="text1"/>
                <w:kern w:val="0"/>
                <w:sz w:val="22"/>
                <w:szCs w:val="22"/>
              </w:rPr>
            </w:pPr>
          </w:p>
        </w:tc>
      </w:tr>
      <w:tr>
        <w:tblPrEx>
          <w:tblLayout w:type="fixed"/>
          <w:tblCellMar>
            <w:top w:w="0" w:type="dxa"/>
            <w:left w:w="108" w:type="dxa"/>
            <w:bottom w:w="0" w:type="dxa"/>
            <w:right w:w="108" w:type="dxa"/>
          </w:tblCellMar>
        </w:tblPrEx>
        <w:trPr>
          <w:trHeight w:val="33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center"/>
              <w:rPr>
                <w:rFonts w:ascii="宋体" w:hAnsi="宋体" w:cs="Tahoma"/>
                <w:color w:val="000000" w:themeColor="text1"/>
                <w:kern w:val="0"/>
              </w:rPr>
            </w:pPr>
            <w:r>
              <w:rPr>
                <w:rFonts w:hint="eastAsia" w:ascii="宋体" w:hAnsi="宋体" w:cs="Tahoma"/>
                <w:color w:val="000000" w:themeColor="text1"/>
                <w:kern w:val="0"/>
              </w:rPr>
              <w:t>张坂镇</w:t>
            </w:r>
          </w:p>
        </w:tc>
        <w:tc>
          <w:tcPr>
            <w:tcW w:w="3025" w:type="dxa"/>
            <w:tcBorders>
              <w:top w:val="nil"/>
              <w:left w:val="nil"/>
              <w:bottom w:val="single" w:color="auto" w:sz="8" w:space="0"/>
              <w:right w:val="single" w:color="auto" w:sz="8" w:space="0"/>
            </w:tcBorders>
            <w:shd w:val="clear" w:color="auto" w:fill="auto"/>
            <w:vAlign w:val="bottom"/>
          </w:tcPr>
          <w:p>
            <w:pPr>
              <w:widowControl/>
              <w:spacing w:before="0" w:after="0" w:line="240" w:lineRule="auto"/>
              <w:ind w:left="0" w:firstLine="0"/>
              <w:jc w:val="center"/>
              <w:rPr>
                <w:rFonts w:ascii="Times New Roman" w:hAnsi="Times New Roman"/>
                <w:color w:val="000000" w:themeColor="text1"/>
                <w:kern w:val="0"/>
                <w:sz w:val="24"/>
                <w:szCs w:val="24"/>
              </w:rPr>
            </w:pPr>
            <w:r>
              <w:rPr>
                <w:rFonts w:ascii="Times New Roman" w:hAnsi="Times New Roman"/>
                <w:color w:val="000000" w:themeColor="text1"/>
                <w:kern w:val="0"/>
                <w:sz w:val="24"/>
                <w:szCs w:val="24"/>
              </w:rPr>
              <w:t>1213.27</w:t>
            </w:r>
          </w:p>
        </w:tc>
        <w:tc>
          <w:tcPr>
            <w:tcW w:w="1417" w:type="dxa"/>
            <w:tcBorders>
              <w:top w:val="nil"/>
              <w:left w:val="single" w:color="auto" w:sz="4" w:space="0"/>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r>
              <w:rPr>
                <w:rFonts w:hint="eastAsia" w:ascii="宋体" w:hAnsi="宋体" w:cs="Tahoma"/>
                <w:color w:val="000000" w:themeColor="text1"/>
                <w:kern w:val="0"/>
                <w:sz w:val="22"/>
                <w:szCs w:val="22"/>
              </w:rPr>
              <w:t>　250</w:t>
            </w:r>
          </w:p>
        </w:tc>
        <w:tc>
          <w:tcPr>
            <w:tcW w:w="1038" w:type="dxa"/>
            <w:vMerge w:val="continue"/>
            <w:tcBorders>
              <w:left w:val="nil"/>
              <w:bottom w:val="single" w:color="auto" w:sz="4" w:space="0"/>
              <w:right w:val="single" w:color="auto" w:sz="4" w:space="0"/>
            </w:tcBorders>
            <w:shd w:val="clear" w:color="auto" w:fill="auto"/>
            <w:vAlign w:val="bottom"/>
          </w:tcPr>
          <w:p>
            <w:pPr>
              <w:widowControl/>
              <w:spacing w:before="0" w:after="0" w:line="240" w:lineRule="auto"/>
              <w:ind w:left="0" w:firstLine="0"/>
              <w:jc w:val="left"/>
              <w:rPr>
                <w:rFonts w:ascii="宋体" w:hAnsi="宋体" w:cs="Tahoma"/>
                <w:color w:val="000000" w:themeColor="text1"/>
                <w:kern w:val="0"/>
                <w:sz w:val="22"/>
                <w:szCs w:val="22"/>
              </w:rPr>
            </w:pPr>
          </w:p>
        </w:tc>
      </w:tr>
    </w:tbl>
    <w:p>
      <w:pPr>
        <w:snapToGrid w:val="0"/>
        <w:spacing w:before="0" w:after="0" w:line="360" w:lineRule="auto"/>
        <w:ind w:left="0" w:firstLine="560" w:firstLineChars="200"/>
        <w:jc w:val="left"/>
        <w:rPr>
          <w:rFonts w:ascii="宋体" w:hAnsi="宋体" w:cs="宋体"/>
          <w:bCs/>
          <w:color w:val="000000" w:themeColor="text1"/>
          <w:sz w:val="28"/>
          <w:szCs w:val="28"/>
        </w:rPr>
      </w:pPr>
      <w:r>
        <w:rPr>
          <w:rFonts w:hint="eastAsia" w:ascii="宋体" w:hAnsi="宋体" w:cs="宋体"/>
          <w:bCs/>
          <w:color w:val="000000" w:themeColor="text1"/>
          <w:sz w:val="28"/>
          <w:szCs w:val="28"/>
        </w:rPr>
        <w:t>设备配置如下：</w:t>
      </w:r>
    </w:p>
    <w:p>
      <w:pPr>
        <w:snapToGrid w:val="0"/>
        <w:spacing w:before="0" w:after="0" w:line="360" w:lineRule="auto"/>
        <w:ind w:left="0" w:firstLine="560" w:firstLineChars="200"/>
        <w:jc w:val="left"/>
        <w:rPr>
          <w:rFonts w:ascii="宋体" w:hAnsi="宋体" w:cs="宋体"/>
          <w:bCs/>
          <w:color w:val="000000" w:themeColor="text1"/>
          <w:sz w:val="28"/>
          <w:szCs w:val="28"/>
        </w:rPr>
      </w:pPr>
      <w:r>
        <w:rPr>
          <w:rFonts w:hint="eastAsia" w:ascii="宋体" w:hAnsi="宋体" w:cs="宋体"/>
          <w:bCs/>
          <w:color w:val="000000" w:themeColor="text1"/>
          <w:sz w:val="28"/>
          <w:szCs w:val="28"/>
        </w:rPr>
        <w:t>（1）办公设施设备。宜包括办公场地、桌椅、电话。</w:t>
      </w:r>
    </w:p>
    <w:p>
      <w:pPr>
        <w:snapToGrid w:val="0"/>
        <w:spacing w:before="0" w:after="0" w:line="360" w:lineRule="auto"/>
        <w:ind w:left="0" w:firstLine="560" w:firstLineChars="200"/>
        <w:jc w:val="left"/>
        <w:rPr>
          <w:rFonts w:ascii="宋体" w:hAnsi="宋体" w:cs="宋体"/>
          <w:bCs/>
          <w:color w:val="000000" w:themeColor="text1"/>
          <w:sz w:val="28"/>
          <w:szCs w:val="28"/>
        </w:rPr>
      </w:pPr>
      <w:r>
        <w:rPr>
          <w:rFonts w:hint="eastAsia" w:ascii="宋体" w:hAnsi="宋体" w:cs="宋体"/>
          <w:bCs/>
          <w:color w:val="000000" w:themeColor="text1"/>
          <w:sz w:val="28"/>
          <w:szCs w:val="28"/>
        </w:rPr>
        <w:t>（2）物流作业设施设备。宜包括堆场、仓库、停车场、货架、周转箱、配送车辆、称重设备等。</w:t>
      </w:r>
    </w:p>
    <w:p>
      <w:pPr>
        <w:snapToGrid w:val="0"/>
        <w:spacing w:before="0" w:after="0" w:line="360" w:lineRule="auto"/>
        <w:ind w:left="0" w:firstLine="560" w:firstLineChars="200"/>
        <w:jc w:val="left"/>
        <w:rPr>
          <w:rFonts w:ascii="宋体" w:hAnsi="宋体" w:cs="宋体"/>
          <w:bCs/>
          <w:color w:val="000000" w:themeColor="text1"/>
          <w:sz w:val="28"/>
          <w:szCs w:val="28"/>
        </w:rPr>
      </w:pPr>
      <w:r>
        <w:rPr>
          <w:rFonts w:hint="eastAsia" w:ascii="宋体" w:hAnsi="宋体" w:cs="宋体"/>
          <w:bCs/>
          <w:color w:val="000000" w:themeColor="text1"/>
          <w:sz w:val="28"/>
          <w:szCs w:val="28"/>
        </w:rPr>
        <w:t>（3）信息化设施设备。宜包括条码扫描器、电脑或显示设备、无线WIFI路由器、移动信息终端。</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4.5.3 村级物流服务点</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1.选址与物流服务点的规划</w:t>
      </w:r>
    </w:p>
    <w:p>
      <w:pPr>
        <w:spacing w:before="0" w:after="0" w:line="360" w:lineRule="auto"/>
        <w:ind w:left="624" w:leftChars="197" w:hanging="210" w:hangingChars="75"/>
        <w:rPr>
          <w:rFonts w:ascii="宋体" w:hAnsi="宋体" w:cs="宋体"/>
          <w:color w:val="000000" w:themeColor="text1"/>
          <w:sz w:val="28"/>
          <w:szCs w:val="28"/>
        </w:rPr>
      </w:pPr>
      <w:r>
        <w:rPr>
          <w:rFonts w:hint="eastAsia" w:ascii="宋体" w:hAnsi="宋体" w:cs="宋体"/>
          <w:color w:val="000000" w:themeColor="text1"/>
          <w:sz w:val="28"/>
          <w:szCs w:val="28"/>
        </w:rPr>
        <w:t>由于农村地域相对偏远，传统商业不发达，因此，点要选在常</w:t>
      </w:r>
    </w:p>
    <w:p>
      <w:pPr>
        <w:spacing w:before="0" w:after="0" w:line="360" w:lineRule="auto"/>
        <w:ind w:left="0" w:firstLine="0"/>
        <w:rPr>
          <w:rFonts w:ascii="宋体" w:hAnsi="宋体" w:cs="宋体"/>
          <w:color w:val="000000" w:themeColor="text1"/>
          <w:sz w:val="28"/>
          <w:szCs w:val="28"/>
        </w:rPr>
      </w:pPr>
      <w:r>
        <w:rPr>
          <w:rFonts w:hint="eastAsia" w:ascii="宋体" w:hAnsi="宋体" w:cs="宋体"/>
          <w:color w:val="000000" w:themeColor="text1"/>
          <w:sz w:val="28"/>
          <w:szCs w:val="28"/>
        </w:rPr>
        <w:t>住居民相对聚集场所或村民习惯集聚地，并且交通要相对便利。可优先利用农家店（超市）、农村综合服务社、村邮站、农村电商服务点、农产品购销代办站、村委会等。村级农村物流服务点合伙人宜具有以下条件：在当地具有一定影响力，家庭收入来源相对比较稳定，掌握电脑及互联网应用基本操作技能，有一定的奉献精神和服务意识。</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在78个行政村依托农村便利店、农村合作社、村委会、农产品购销代办站进行村级物流服务点的设置。2019年-2020年完成所有村级农村物流服务点的建设，共完成78个村级物流服务点的建设。2021年-2025根据2019年-2025年的预测每个镇的快递业务量、位置、常住人口数量来增设村级农村物流服务点，共完成49个村级物流服务点的建设，具体见表3-6。</w:t>
      </w:r>
    </w:p>
    <w:p>
      <w:pPr>
        <w:spacing w:before="0" w:after="0" w:line="360" w:lineRule="auto"/>
        <w:ind w:left="0" w:firstLine="0"/>
        <w:rPr>
          <w:rFonts w:ascii="宋体" w:hAnsi="宋体" w:cs="宋体"/>
          <w:color w:val="000000" w:themeColor="text1"/>
          <w:sz w:val="28"/>
          <w:szCs w:val="28"/>
        </w:rPr>
      </w:pPr>
    </w:p>
    <w:p>
      <w:pPr>
        <w:spacing w:before="0" w:after="0" w:line="360" w:lineRule="auto"/>
        <w:ind w:left="0" w:firstLine="0"/>
        <w:rPr>
          <w:rFonts w:ascii="宋体" w:hAnsi="宋体" w:cs="宋体"/>
          <w:color w:val="000000" w:themeColor="text1"/>
          <w:sz w:val="28"/>
          <w:szCs w:val="28"/>
        </w:rPr>
      </w:pPr>
    </w:p>
    <w:p>
      <w:pPr>
        <w:widowControl/>
        <w:spacing w:line="360" w:lineRule="auto"/>
        <w:jc w:val="center"/>
        <w:rPr>
          <w:rFonts w:ascii="宋体" w:hAnsi="宋体" w:cs="宋体"/>
          <w:bCs/>
          <w:color w:val="000000" w:themeColor="text1"/>
          <w:sz w:val="28"/>
          <w:szCs w:val="28"/>
        </w:rPr>
      </w:pPr>
      <w:r>
        <w:rPr>
          <w:rFonts w:hint="eastAsia" w:ascii="Times New Roman" w:hAnsi="Times New Roman"/>
          <w:b/>
          <w:bCs/>
          <w:color w:val="000000" w:themeColor="text1"/>
          <w:kern w:val="0"/>
          <w:sz w:val="24"/>
          <w:szCs w:val="18"/>
        </w:rPr>
        <w:t>表3-6 村级农村物流服务站</w:t>
      </w:r>
    </w:p>
    <w:tbl>
      <w:tblPr>
        <w:tblStyle w:val="19"/>
        <w:tblW w:w="8190" w:type="dxa"/>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5" w:type="dxa"/>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年度</w:t>
            </w:r>
          </w:p>
        </w:tc>
        <w:tc>
          <w:tcPr>
            <w:tcW w:w="6615" w:type="dxa"/>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村级农村物流服务站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5" w:type="dxa"/>
            <w:vAlign w:val="center"/>
          </w:tcPr>
          <w:p>
            <w:pPr>
              <w:spacing w:before="0" w:after="0" w:line="240" w:lineRule="auto"/>
              <w:ind w:left="0" w:firstLine="0"/>
              <w:jc w:val="center"/>
              <w:rPr>
                <w:rFonts w:ascii="Times New Roman" w:hAnsi="Times New Roman"/>
                <w:color w:val="000000" w:themeColor="text1"/>
                <w:sz w:val="24"/>
                <w:szCs w:val="24"/>
                <w:shd w:val="clear" w:color="auto" w:fill="FFFFFF"/>
              </w:rPr>
            </w:pPr>
            <w:r>
              <w:rPr>
                <w:rFonts w:hint="eastAsia" w:ascii="Times New Roman" w:hAnsi="Times New Roman"/>
                <w:color w:val="000000" w:themeColor="text1"/>
                <w:sz w:val="24"/>
                <w:szCs w:val="24"/>
                <w:shd w:val="clear" w:color="auto" w:fill="FFFFFF"/>
              </w:rPr>
              <w:t>2019-2020年</w:t>
            </w:r>
          </w:p>
          <w:p>
            <w:pPr>
              <w:spacing w:before="0" w:after="0" w:line="240" w:lineRule="auto"/>
              <w:ind w:left="0" w:firstLine="0"/>
              <w:jc w:val="center"/>
              <w:rPr>
                <w:rFonts w:ascii="Times New Roman" w:hAnsi="Times New Roman"/>
                <w:color w:val="000000" w:themeColor="text1"/>
                <w:sz w:val="24"/>
                <w:szCs w:val="24"/>
                <w:shd w:val="clear" w:color="auto" w:fill="FFFFFF"/>
              </w:rPr>
            </w:pPr>
            <w:r>
              <w:rPr>
                <w:rFonts w:hint="eastAsia" w:ascii="Times New Roman" w:hAnsi="Times New Roman"/>
                <w:color w:val="000000" w:themeColor="text1"/>
                <w:sz w:val="24"/>
                <w:szCs w:val="24"/>
                <w:shd w:val="clear" w:color="auto" w:fill="FFFFFF"/>
              </w:rPr>
              <w:t>（78个）</w:t>
            </w:r>
          </w:p>
        </w:tc>
        <w:tc>
          <w:tcPr>
            <w:tcW w:w="6615" w:type="dxa"/>
          </w:tcPr>
          <w:p>
            <w:pPr>
              <w:spacing w:before="0" w:after="0" w:line="240" w:lineRule="auto"/>
              <w:ind w:left="0" w:firstLine="0"/>
              <w:rPr>
                <w:rFonts w:ascii="Times New Roman" w:hAnsi="Times New Roman"/>
                <w:color w:val="000000" w:themeColor="text1"/>
                <w:sz w:val="24"/>
                <w:szCs w:val="24"/>
                <w:shd w:val="clear" w:color="auto" w:fill="FFFFFF"/>
              </w:rPr>
            </w:pPr>
            <w:r>
              <w:rPr>
                <w:rFonts w:hint="eastAsia" w:ascii="Times New Roman" w:hAnsi="Times New Roman"/>
                <w:color w:val="000000" w:themeColor="text1"/>
                <w:sz w:val="24"/>
                <w:szCs w:val="24"/>
                <w:shd w:val="clear" w:color="auto" w:fill="FFFFFF"/>
              </w:rPr>
              <w:t>白沙一村、白沙二村、后亭村、上浦村、西方村、西吟头村、曾垵村、后埔村、前园村、屿头村、洛阳村、洛安村、万安村、堂头村、下曾村、杏田村、梅岭村、云庄村、陈埭头村、霞星村、陈坝村、群山村、西塘村、上田村、上曾村、锦厝村、长新村、溪庄村、玉坂村、龙苍村、凤浦村、上林村、东园村、仑山村、灵溪村、锦峰村、群青村、秀涂村、琅山村、阳光村、后港村、下垵村、松山村、塘园村、玉塘村、玉园村、玉田村、群力村、霞美村、下宫村、张坂村、上塘村、后边村、苍霞村、门头村、上仑村、后蔡村、苏坑村、后曾村、山内村、莲新村、浮山村、前见村、前头村、玉山村、玉霞村、玉前村、后见村、黄岭村、群贤村、玉埕村、崇山村、仑前村、白奇村、里春村、莲埭村、后海村、下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5" w:type="dxa"/>
            <w:vAlign w:val="center"/>
          </w:tcPr>
          <w:p>
            <w:pPr>
              <w:spacing w:before="0" w:after="0" w:line="240" w:lineRule="auto"/>
              <w:ind w:left="0" w:firstLine="0"/>
              <w:jc w:val="center"/>
              <w:rPr>
                <w:rFonts w:ascii="Times New Roman" w:hAnsi="Times New Roman"/>
                <w:color w:val="000000" w:themeColor="text1"/>
                <w:sz w:val="24"/>
                <w:szCs w:val="24"/>
                <w:shd w:val="clear" w:color="auto" w:fill="FFFFFF"/>
              </w:rPr>
            </w:pPr>
            <w:r>
              <w:rPr>
                <w:rFonts w:hint="eastAsia" w:ascii="Times New Roman" w:hAnsi="Times New Roman"/>
                <w:color w:val="000000" w:themeColor="text1"/>
                <w:sz w:val="24"/>
                <w:szCs w:val="24"/>
                <w:shd w:val="clear" w:color="auto" w:fill="FFFFFF"/>
              </w:rPr>
              <w:t>2021-2025年</w:t>
            </w:r>
          </w:p>
          <w:p>
            <w:pPr>
              <w:spacing w:before="0" w:after="0" w:line="240" w:lineRule="auto"/>
              <w:ind w:left="0" w:firstLine="0"/>
              <w:jc w:val="center"/>
              <w:rPr>
                <w:rFonts w:ascii="Times New Roman" w:hAnsi="Times New Roman"/>
                <w:color w:val="000000" w:themeColor="text1"/>
                <w:sz w:val="24"/>
                <w:szCs w:val="24"/>
                <w:shd w:val="clear" w:color="auto" w:fill="FFFFFF"/>
              </w:rPr>
            </w:pPr>
            <w:r>
              <w:rPr>
                <w:rFonts w:hint="eastAsia" w:ascii="Times New Roman" w:hAnsi="Times New Roman"/>
                <w:color w:val="000000" w:themeColor="text1"/>
                <w:sz w:val="24"/>
                <w:szCs w:val="24"/>
                <w:shd w:val="clear" w:color="auto" w:fill="FFFFFF"/>
              </w:rPr>
              <w:t>（49个）</w:t>
            </w:r>
          </w:p>
        </w:tc>
        <w:tc>
          <w:tcPr>
            <w:tcW w:w="6615" w:type="dxa"/>
          </w:tcPr>
          <w:p>
            <w:pPr>
              <w:spacing w:before="0" w:after="0" w:line="240" w:lineRule="auto"/>
              <w:ind w:left="0" w:firstLine="0"/>
              <w:rPr>
                <w:rFonts w:ascii="Times New Roman" w:hAnsi="Times New Roman"/>
                <w:color w:val="000000" w:themeColor="text1"/>
                <w:sz w:val="24"/>
                <w:szCs w:val="24"/>
                <w:shd w:val="clear" w:color="auto" w:fill="FFFFFF"/>
              </w:rPr>
            </w:pPr>
            <w:r>
              <w:rPr>
                <w:rFonts w:hint="eastAsia" w:ascii="Times New Roman" w:hAnsi="Times New Roman"/>
                <w:color w:val="000000" w:themeColor="text1"/>
                <w:sz w:val="24"/>
                <w:szCs w:val="24"/>
                <w:shd w:val="clear" w:color="auto" w:fill="FFFFFF"/>
              </w:rPr>
              <w:t>白沙二村、后亭村、西方村、后埔村、前园村、屿头村、洛阳村、万安村、堂头村、杏田村、梅岭村、云庄村、陈埭头村、锦厝村、长新村、溪庄村、玉坂村、龙苍村、凤浦村、上林村、</w:t>
            </w:r>
          </w:p>
          <w:p>
            <w:pPr>
              <w:spacing w:before="0" w:after="0" w:line="240" w:lineRule="auto"/>
              <w:ind w:left="0" w:firstLine="0"/>
              <w:rPr>
                <w:rFonts w:ascii="Times New Roman" w:hAnsi="Times New Roman"/>
                <w:color w:val="000000" w:themeColor="text1"/>
                <w:sz w:val="24"/>
                <w:szCs w:val="24"/>
                <w:shd w:val="clear" w:color="auto" w:fill="FFFFFF"/>
              </w:rPr>
            </w:pPr>
            <w:r>
              <w:rPr>
                <w:rFonts w:hint="eastAsia" w:ascii="Times New Roman" w:hAnsi="Times New Roman"/>
                <w:color w:val="000000" w:themeColor="text1"/>
                <w:sz w:val="24"/>
                <w:szCs w:val="24"/>
                <w:shd w:val="clear" w:color="auto" w:fill="FFFFFF"/>
              </w:rPr>
              <w:t>东园村、仑山村、灵溪村、锦峰村、群青村、秀涂村、琅山村、</w:t>
            </w:r>
          </w:p>
          <w:p>
            <w:pPr>
              <w:spacing w:before="0" w:after="0" w:line="240" w:lineRule="auto"/>
              <w:ind w:left="0" w:firstLine="0"/>
              <w:rPr>
                <w:rFonts w:ascii="Times New Roman" w:hAnsi="Times New Roman"/>
                <w:color w:val="000000" w:themeColor="text1"/>
                <w:sz w:val="24"/>
                <w:szCs w:val="24"/>
                <w:shd w:val="clear" w:color="auto" w:fill="FFFFFF"/>
              </w:rPr>
            </w:pPr>
            <w:r>
              <w:rPr>
                <w:rFonts w:hint="eastAsia" w:ascii="Times New Roman" w:hAnsi="Times New Roman"/>
                <w:color w:val="000000" w:themeColor="text1"/>
                <w:sz w:val="24"/>
                <w:szCs w:val="24"/>
                <w:shd w:val="clear" w:color="auto" w:fill="FFFFFF"/>
              </w:rPr>
              <w:t>阳光村、下垵村、浮山村、前见村、玉田村、群力村、下宫村、张坂村、上塘村、后边村、苍霞村、下垵村、苏坑村、浮山村、前见村、后见村、群贤村、玉埕村、崇山村、白奇村、里春村、莲埭村</w:t>
            </w:r>
          </w:p>
        </w:tc>
      </w:tr>
    </w:tbl>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2.功能</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村级物流服务点在农村物流网络中起到基础性的作用，受所属乡镇物流服务站的监督和管理，是最基层的执行者。村级物流服务点是三级物流网络节点体系中的基层网点，处于节点体系的末端，实现农村物流各类物资“最初一公里”和“最后一公里”有序集散和高效配送，以及电商、快递等各类物流信息的及时采集和发布。村级物流服务点包括以下功能：</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（1）快递包裹收寄功能：能及时将快递包裹送到农户手中；也可以将快递包裹及时收取并送至二级物流网络农村物流站进行中转。</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信息收集和发布功能：村级物流网点深入到农村，直接与农户接触，能够及时反馈农村生产信息、消费需求信息以及劳动信息等。因此主要负责汇总本村群众生活资料的需求信息并联系购进农副产品以及企业产品信息的收集、发布等。</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（3）农资、农产品、电商产品等代销代购功能：通过村级物流网点的服务，让农民群众和农业经营者享受送货上门服务，足不出户就可以运销农副产品。</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（4）便民服务功能，根据当地需求及条件提供助农取款、缴费服务、票务服务、乘车服务、社保服务。</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3.布局</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（1）合理划分功能分区。功能一般可划分为：快递包裹作业区、农产品收购储存区、农资储存区、便民服务区。</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（2）布局相对紧凑，各功能区块设施相互交叉利用。</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4.设施设备配备</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按照村的常住人口与快递量来配备设备，常住人口2000人以下设置B类农村物流服务点，2000人以上设置A类农村物流服务点。或者根据快递量来划分物流服务点的规模，日均快递量达到300件以上，为A类农村物流服务点，日均快递量达到300件以下，为B类农村物流服务点。具体见表3-7、表3-8和表3-9。</w:t>
      </w:r>
    </w:p>
    <w:p>
      <w:pPr>
        <w:spacing w:before="0" w:after="0" w:line="240" w:lineRule="auto"/>
        <w:ind w:left="0" w:firstLine="482"/>
        <w:jc w:val="center"/>
        <w:rPr>
          <w:rFonts w:ascii="Times New Roman" w:hAnsi="Times New Roman"/>
          <w:b/>
          <w:bCs/>
          <w:color w:val="000000" w:themeColor="text1"/>
          <w:kern w:val="0"/>
          <w:sz w:val="24"/>
          <w:szCs w:val="24"/>
        </w:rPr>
      </w:pPr>
      <w:r>
        <w:rPr>
          <w:rFonts w:hint="eastAsia" w:ascii="宋体" w:hAnsi="宋体"/>
          <w:b/>
          <w:bCs/>
          <w:color w:val="000000" w:themeColor="text1"/>
          <w:kern w:val="0"/>
          <w:sz w:val="24"/>
          <w:szCs w:val="24"/>
        </w:rPr>
        <w:t>表</w:t>
      </w:r>
      <w:r>
        <w:rPr>
          <w:rFonts w:hint="eastAsia" w:ascii="Times New Roman" w:hAnsi="Times New Roman"/>
          <w:b/>
          <w:bCs/>
          <w:color w:val="000000" w:themeColor="text1"/>
          <w:kern w:val="0"/>
          <w:sz w:val="24"/>
          <w:szCs w:val="24"/>
        </w:rPr>
        <w:t xml:space="preserve">3-7 </w:t>
      </w:r>
      <w:r>
        <w:rPr>
          <w:rFonts w:hint="eastAsia" w:ascii="宋体" w:hAnsi="宋体"/>
          <w:b/>
          <w:bCs/>
          <w:color w:val="000000" w:themeColor="text1"/>
          <w:kern w:val="0"/>
          <w:sz w:val="24"/>
          <w:szCs w:val="24"/>
        </w:rPr>
        <w:t>村级物流服务点的设备配置</w:t>
      </w:r>
    </w:p>
    <w:tbl>
      <w:tblPr>
        <w:tblStyle w:val="43"/>
        <w:tblW w:w="83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3352"/>
        <w:gridCol w:w="3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0" w:type="dxa"/>
            <w:tcBorders>
              <w:top w:val="single" w:color="auto" w:sz="4" w:space="0"/>
              <w:left w:val="single" w:color="auto" w:sz="4" w:space="0"/>
              <w:bottom w:val="single" w:color="auto" w:sz="4" w:space="0"/>
              <w:right w:val="single" w:color="auto" w:sz="4" w:space="0"/>
            </w:tcBorders>
          </w:tcPr>
          <w:p>
            <w:pPr>
              <w:adjustRightInd w:val="0"/>
              <w:snapToGrid w:val="0"/>
              <w:spacing w:before="0" w:after="0" w:line="360" w:lineRule="auto"/>
              <w:ind w:left="0" w:firstLine="0"/>
              <w:outlineLvl w:val="2"/>
              <w:rPr>
                <w:rFonts w:ascii="宋体" w:hAnsi="宋体" w:eastAsia="Times New Roman" w:cstheme="minorBidi"/>
                <w:color w:val="000000" w:themeColor="text1"/>
                <w:sz w:val="24"/>
                <w:szCs w:val="24"/>
              </w:rPr>
            </w:pPr>
          </w:p>
        </w:tc>
        <w:tc>
          <w:tcPr>
            <w:tcW w:w="3352" w:type="dxa"/>
            <w:tcBorders>
              <w:top w:val="single" w:color="auto" w:sz="4" w:space="0"/>
              <w:left w:val="nil"/>
              <w:bottom w:val="single" w:color="auto" w:sz="4" w:space="0"/>
              <w:right w:val="single" w:color="auto" w:sz="4" w:space="0"/>
            </w:tcBorders>
          </w:tcPr>
          <w:p>
            <w:pPr>
              <w:spacing w:before="0" w:after="0" w:line="300" w:lineRule="auto"/>
              <w:ind w:left="0" w:firstLine="0"/>
              <w:jc w:val="center"/>
              <w:rPr>
                <w:rFonts w:eastAsia="Times New Roman" w:cstheme="minorBidi"/>
                <w:b/>
                <w:bCs/>
                <w:color w:val="000000" w:themeColor="text1"/>
                <w:kern w:val="0"/>
              </w:rPr>
            </w:pPr>
            <w:r>
              <w:rPr>
                <w:rFonts w:hint="eastAsia" w:ascii="宋体" w:hAnsi="宋体" w:eastAsia="Times New Roman" w:cstheme="minorBidi"/>
                <w:b/>
                <w:bCs/>
                <w:color w:val="000000" w:themeColor="text1"/>
              </w:rPr>
              <w:t>A类农村物流服务点</w:t>
            </w:r>
          </w:p>
        </w:tc>
        <w:tc>
          <w:tcPr>
            <w:tcW w:w="3428" w:type="dxa"/>
            <w:tcBorders>
              <w:top w:val="single" w:color="auto" w:sz="4" w:space="0"/>
              <w:left w:val="nil"/>
              <w:bottom w:val="single" w:color="auto" w:sz="4" w:space="0"/>
              <w:right w:val="single" w:color="auto" w:sz="4" w:space="0"/>
            </w:tcBorders>
          </w:tcPr>
          <w:p>
            <w:pPr>
              <w:spacing w:before="0" w:after="0" w:line="300" w:lineRule="auto"/>
              <w:ind w:left="0" w:firstLine="0"/>
              <w:jc w:val="center"/>
              <w:rPr>
                <w:rFonts w:eastAsia="Times New Roman" w:cstheme="minorBidi"/>
                <w:b/>
                <w:bCs/>
                <w:color w:val="000000" w:themeColor="text1"/>
                <w:kern w:val="0"/>
              </w:rPr>
            </w:pPr>
            <w:r>
              <w:rPr>
                <w:rFonts w:hint="eastAsia" w:ascii="宋体" w:hAnsi="宋体" w:eastAsia="Times New Roman" w:cstheme="minorBidi"/>
                <w:b/>
                <w:bCs/>
                <w:color w:val="000000" w:themeColor="text1"/>
              </w:rPr>
              <w:t>B类农村物流服务点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0"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张坂镇</w:t>
            </w:r>
          </w:p>
        </w:tc>
        <w:tc>
          <w:tcPr>
            <w:tcW w:w="3352"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场地面积约</w:t>
            </w:r>
            <w:r>
              <w:rPr>
                <w:rFonts w:hint="eastAsia" w:cs="Calibri" w:asciiTheme="minorEastAsia" w:hAnsiTheme="minorEastAsia" w:eastAsiaTheme="minorEastAsia"/>
                <w:color w:val="000000" w:themeColor="text1"/>
                <w:sz w:val="24"/>
                <w:szCs w:val="24"/>
                <w:shd w:val="clear" w:color="auto" w:fill="FFFFFF"/>
              </w:rPr>
              <w:t>30</w:t>
            </w:r>
            <w:r>
              <w:rPr>
                <w:rFonts w:hint="eastAsia" w:asciiTheme="minorEastAsia" w:hAnsiTheme="minorEastAsia" w:eastAsiaTheme="minorEastAsia" w:cstheme="minorBidi"/>
                <w:color w:val="000000" w:themeColor="text1"/>
                <w:sz w:val="24"/>
                <w:szCs w:val="24"/>
                <w:shd w:val="clear" w:color="auto" w:fill="FFFFFF"/>
              </w:rPr>
              <w:t>平米；办公桌子一张；椅子四把；电话机一部。</w:t>
            </w:r>
          </w:p>
        </w:tc>
        <w:tc>
          <w:tcPr>
            <w:tcW w:w="3428"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场地面积约</w:t>
            </w:r>
            <w:r>
              <w:rPr>
                <w:rFonts w:hint="eastAsia" w:cs="Calibri" w:asciiTheme="minorEastAsia" w:hAnsiTheme="minorEastAsia" w:eastAsiaTheme="minorEastAsia"/>
                <w:color w:val="000000" w:themeColor="text1"/>
                <w:sz w:val="24"/>
                <w:szCs w:val="24"/>
                <w:shd w:val="clear" w:color="auto" w:fill="FFFFFF"/>
              </w:rPr>
              <w:t>20</w:t>
            </w:r>
            <w:r>
              <w:rPr>
                <w:rFonts w:hint="eastAsia" w:asciiTheme="minorEastAsia" w:hAnsiTheme="minorEastAsia" w:eastAsiaTheme="minorEastAsia" w:cstheme="minorBidi"/>
                <w:color w:val="000000" w:themeColor="text1"/>
                <w:sz w:val="24"/>
                <w:szCs w:val="24"/>
                <w:shd w:val="clear" w:color="auto" w:fill="FFFFFF"/>
              </w:rPr>
              <w:t>平米；办公桌子一张；椅子三把；电话机一部。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0"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宋体" w:asciiTheme="minorEastAsia" w:hAnsiTheme="minorEastAsia" w:eastAsiaTheme="minorEastAsia"/>
                <w:color w:val="000000" w:themeColor="text1"/>
                <w:sz w:val="24"/>
                <w:szCs w:val="24"/>
                <w:shd w:val="clear" w:color="auto" w:fill="FFFFFF"/>
              </w:rPr>
              <w:t>东园镇</w:t>
            </w:r>
          </w:p>
        </w:tc>
        <w:tc>
          <w:tcPr>
            <w:tcW w:w="3352"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货架两个；称重设备一台；打包机一台。</w:t>
            </w:r>
          </w:p>
        </w:tc>
        <w:tc>
          <w:tcPr>
            <w:tcW w:w="3428"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货架一个；称重设备一台；打包机一台。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jc w:val="center"/>
        </w:trPr>
        <w:tc>
          <w:tcPr>
            <w:tcW w:w="1590"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宋体" w:asciiTheme="minorEastAsia" w:hAnsiTheme="minorEastAsia" w:eastAsiaTheme="minorEastAsia"/>
                <w:color w:val="000000" w:themeColor="text1"/>
                <w:sz w:val="24"/>
                <w:szCs w:val="24"/>
                <w:shd w:val="clear" w:color="auto" w:fill="FFFFFF"/>
              </w:rPr>
              <w:t>洛阳镇</w:t>
            </w:r>
          </w:p>
        </w:tc>
        <w:tc>
          <w:tcPr>
            <w:tcW w:w="3352"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条码扫描器一个；电脑一台；无线路由器一个；移动信息终端一个。</w:t>
            </w:r>
          </w:p>
        </w:tc>
        <w:tc>
          <w:tcPr>
            <w:tcW w:w="3428"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条码扫描器一个；电脑一台；无线路由器一个；移动信息终端一个。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590"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宋体" w:asciiTheme="minorEastAsia" w:hAnsiTheme="minorEastAsia" w:eastAsiaTheme="minorEastAsia"/>
                <w:color w:val="000000" w:themeColor="text1"/>
                <w:sz w:val="24"/>
                <w:szCs w:val="24"/>
                <w:shd w:val="clear" w:color="auto" w:fill="FFFFFF"/>
              </w:rPr>
              <w:t>百崎回族乡</w:t>
            </w:r>
          </w:p>
        </w:tc>
        <w:tc>
          <w:tcPr>
            <w:tcW w:w="3352"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操作规范、收费标准、危险品标识、违禁品列表、灭火器一个。</w:t>
            </w:r>
          </w:p>
        </w:tc>
        <w:tc>
          <w:tcPr>
            <w:tcW w:w="3428"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操作规范、收费标准、危险品标识、违禁品列表、灭火器一个。</w:t>
            </w:r>
          </w:p>
        </w:tc>
      </w:tr>
    </w:tbl>
    <w:p>
      <w:pPr>
        <w:spacing w:before="0" w:after="0" w:line="240" w:lineRule="auto"/>
        <w:ind w:left="0" w:firstLine="482"/>
        <w:jc w:val="center"/>
        <w:rPr>
          <w:rFonts w:ascii="Times New Roman" w:hAnsi="Times New Roman"/>
          <w:b/>
          <w:bCs/>
          <w:color w:val="000000" w:themeColor="text1"/>
          <w:kern w:val="0"/>
          <w:sz w:val="24"/>
          <w:szCs w:val="24"/>
        </w:rPr>
      </w:pPr>
      <w:r>
        <w:rPr>
          <w:rFonts w:hint="eastAsia" w:ascii="宋体" w:hAnsi="宋体"/>
          <w:b/>
          <w:bCs/>
          <w:color w:val="000000" w:themeColor="text1"/>
          <w:kern w:val="0"/>
          <w:sz w:val="24"/>
          <w:szCs w:val="24"/>
        </w:rPr>
        <w:t>表</w:t>
      </w:r>
      <w:r>
        <w:rPr>
          <w:rFonts w:hint="eastAsia" w:ascii="Times New Roman" w:hAnsi="Times New Roman"/>
          <w:b/>
          <w:bCs/>
          <w:color w:val="000000" w:themeColor="text1"/>
          <w:kern w:val="0"/>
          <w:sz w:val="24"/>
          <w:szCs w:val="24"/>
        </w:rPr>
        <w:t>3-</w:t>
      </w:r>
      <w:r>
        <w:rPr>
          <w:rFonts w:ascii="Times New Roman" w:hAnsi="Times New Roman"/>
          <w:b/>
          <w:bCs/>
          <w:color w:val="000000" w:themeColor="text1"/>
          <w:kern w:val="0"/>
          <w:sz w:val="24"/>
          <w:szCs w:val="24"/>
        </w:rPr>
        <w:t xml:space="preserve">8 </w:t>
      </w:r>
      <w:r>
        <w:rPr>
          <w:rFonts w:hint="eastAsia" w:ascii="Times New Roman" w:hAnsi="Times New Roman"/>
          <w:b/>
          <w:bCs/>
          <w:color w:val="000000" w:themeColor="text1"/>
          <w:kern w:val="0"/>
          <w:sz w:val="24"/>
          <w:szCs w:val="24"/>
        </w:rPr>
        <w:t>近期泉州台商投资区</w:t>
      </w:r>
      <w:r>
        <w:rPr>
          <w:rFonts w:hint="eastAsia" w:ascii="宋体" w:hAnsi="宋体"/>
          <w:b/>
          <w:bCs/>
          <w:color w:val="000000" w:themeColor="text1"/>
          <w:kern w:val="0"/>
          <w:sz w:val="24"/>
          <w:szCs w:val="24"/>
        </w:rPr>
        <w:t>各村的设备配置</w:t>
      </w:r>
    </w:p>
    <w:tbl>
      <w:tblPr>
        <w:tblStyle w:val="43"/>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tcPr>
          <w:p>
            <w:pPr>
              <w:spacing w:before="0" w:after="0" w:line="300" w:lineRule="auto"/>
              <w:ind w:left="0" w:firstLine="0"/>
              <w:jc w:val="center"/>
              <w:rPr>
                <w:rFonts w:eastAsia="Times New Roman" w:cstheme="minorBidi"/>
                <w:b/>
                <w:bCs/>
                <w:color w:val="000000" w:themeColor="text1"/>
                <w:kern w:val="0"/>
              </w:rPr>
            </w:pPr>
            <w:r>
              <w:rPr>
                <w:rFonts w:hint="eastAsia" w:ascii="宋体" w:hAnsi="宋体" w:eastAsia="Times New Roman" w:cstheme="minorBidi"/>
                <w:b/>
                <w:bCs/>
                <w:color w:val="000000" w:themeColor="text1"/>
              </w:rPr>
              <w:t>A类农村物流服务点</w:t>
            </w:r>
          </w:p>
        </w:tc>
        <w:tc>
          <w:tcPr>
            <w:tcW w:w="5578" w:type="dxa"/>
          </w:tcPr>
          <w:p>
            <w:pPr>
              <w:spacing w:before="0" w:after="0" w:line="300" w:lineRule="auto"/>
              <w:ind w:left="0" w:firstLine="0"/>
              <w:jc w:val="center"/>
              <w:rPr>
                <w:rFonts w:eastAsia="Times New Roman" w:cstheme="minorBidi"/>
                <w:b/>
                <w:bCs/>
                <w:color w:val="000000" w:themeColor="text1"/>
                <w:kern w:val="0"/>
              </w:rPr>
            </w:pPr>
            <w:r>
              <w:rPr>
                <w:rFonts w:hint="eastAsia" w:ascii="宋体" w:hAnsi="宋体" w:eastAsia="Times New Roman" w:cstheme="minorBidi"/>
                <w:b/>
                <w:bCs/>
                <w:color w:val="000000" w:themeColor="text1"/>
              </w:rPr>
              <w:t>B类农村物流服务点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spacing w:before="0" w:after="0" w:line="240" w:lineRule="auto"/>
              <w:ind w:left="0" w:firstLine="0"/>
              <w:rPr>
                <w:rFonts w:cs="宋体" w:asciiTheme="minorEastAsia" w:hAnsiTheme="minorEastAsia" w:eastAsiaTheme="minorEastAsia"/>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后埔村</w:t>
            </w:r>
            <w:r>
              <w:rPr>
                <w:rFonts w:hint="eastAsia" w:asciiTheme="minorEastAsia" w:hAnsiTheme="minorEastAsia" w:eastAsiaTheme="minorEastAsia" w:cstheme="minorBidi"/>
                <w:color w:val="000000" w:themeColor="text1"/>
                <w:sz w:val="24"/>
                <w:szCs w:val="24"/>
                <w:shd w:val="clear" w:color="auto" w:fill="FFFFFF"/>
              </w:rPr>
              <w:t>、</w:t>
            </w:r>
            <w:r>
              <w:rPr>
                <w:rFonts w:hint="eastAsia" w:cs="微软雅黑" w:asciiTheme="minorEastAsia" w:hAnsiTheme="minorEastAsia" w:eastAsiaTheme="minorEastAsia"/>
                <w:color w:val="000000" w:themeColor="text1"/>
                <w:sz w:val="24"/>
                <w:szCs w:val="24"/>
                <w:shd w:val="clear" w:color="auto" w:fill="FFFFFF"/>
              </w:rPr>
              <w:t>屿头村</w:t>
            </w:r>
            <w:r>
              <w:rPr>
                <w:rFonts w:hint="eastAsia" w:asciiTheme="minorEastAsia" w:hAnsiTheme="minorEastAsia" w:eastAsiaTheme="minorEastAsia" w:cstheme="minorBidi"/>
                <w:color w:val="000000" w:themeColor="text1"/>
                <w:sz w:val="24"/>
                <w:szCs w:val="24"/>
                <w:shd w:val="clear" w:color="auto" w:fill="FFFFFF"/>
              </w:rPr>
              <w:t>、</w:t>
            </w:r>
            <w:r>
              <w:rPr>
                <w:rFonts w:hint="eastAsia" w:cs="微软雅黑" w:asciiTheme="minorEastAsia" w:hAnsiTheme="minorEastAsia" w:eastAsiaTheme="minorEastAsia"/>
                <w:color w:val="000000" w:themeColor="text1"/>
                <w:sz w:val="24"/>
                <w:szCs w:val="24"/>
                <w:shd w:val="clear" w:color="auto" w:fill="FFFFFF"/>
              </w:rPr>
              <w:t>洛阳村</w:t>
            </w:r>
            <w:r>
              <w:rPr>
                <w:rFonts w:hint="eastAsia" w:asciiTheme="minorEastAsia" w:hAnsiTheme="minorEastAsia" w:eastAsiaTheme="minorEastAsia" w:cstheme="minorBidi"/>
                <w:color w:val="000000" w:themeColor="text1"/>
                <w:sz w:val="24"/>
                <w:szCs w:val="24"/>
                <w:shd w:val="clear" w:color="auto" w:fill="FFFFFF"/>
              </w:rPr>
              <w:t>、</w:t>
            </w:r>
            <w:r>
              <w:rPr>
                <w:rFonts w:hint="eastAsia" w:cs="微软雅黑" w:asciiTheme="minorEastAsia" w:hAnsiTheme="minorEastAsia" w:eastAsiaTheme="minorEastAsia"/>
                <w:color w:val="000000" w:themeColor="text1"/>
                <w:sz w:val="24"/>
                <w:szCs w:val="24"/>
                <w:shd w:val="clear" w:color="auto" w:fill="FFFFFF"/>
              </w:rPr>
              <w:t>万安村</w:t>
            </w:r>
            <w:r>
              <w:rPr>
                <w:rFonts w:hint="eastAsia" w:cs="宋体" w:asciiTheme="minorEastAsia" w:hAnsiTheme="minorEastAsia" w:eastAsiaTheme="minorEastAsia"/>
                <w:color w:val="000000" w:themeColor="text1"/>
                <w:sz w:val="24"/>
                <w:szCs w:val="24"/>
                <w:shd w:val="clear" w:color="auto" w:fill="FFFFFF"/>
              </w:rPr>
              <w:t>、锦厝村、长新村、玉坂村、凤浦村、东园村、锦峰村、群力村、下宫村、上塘村、苏坑村、浮山村、后见村、玉埕村、白奇村、里春村、莲埭村、后亭村、梅岭村、溪庄村、仑山村。</w:t>
            </w:r>
          </w:p>
        </w:tc>
        <w:tc>
          <w:tcPr>
            <w:tcW w:w="5578" w:type="dxa"/>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白沙一村、白沙二村、上浦村、西方村、西吟头村、曾垵村、前园村、洛安村、堂头村、下曾村、杏田村、云庄村、陈埭头村、霞星村、陈坝村、群山村、西塘村、上田村、上曾村、龙苍村、上林村、灵溪村、群青村、秀涂村、琅山村、阳光村、后港村、下垵村、松山村、塘园村、玉塘村、玉园村、玉田村、霞美村、张坂村、后边村、苍霞村、门头村、上仑村、后蔡村、后曾村、山内村、莲新村、前见村、前头村、玉山村、玉霞村、玉前村、黄岭村、群贤村、崇山村、仑前村、后海村、下埭村。</w:t>
            </w:r>
          </w:p>
        </w:tc>
      </w:tr>
    </w:tbl>
    <w:p>
      <w:pPr>
        <w:spacing w:before="0" w:after="0" w:line="240" w:lineRule="auto"/>
        <w:ind w:left="0" w:firstLine="0"/>
        <w:rPr>
          <w:rFonts w:ascii="宋体" w:hAnsi="宋体"/>
          <w:b/>
          <w:bCs/>
          <w:color w:val="000000" w:themeColor="text1"/>
          <w:kern w:val="0"/>
          <w:sz w:val="24"/>
          <w:szCs w:val="24"/>
        </w:rPr>
      </w:pPr>
      <w:bookmarkStart w:id="23" w:name="_Hlk528395310"/>
    </w:p>
    <w:p>
      <w:pPr>
        <w:spacing w:before="0" w:after="0" w:line="240" w:lineRule="auto"/>
        <w:ind w:left="0" w:firstLine="482"/>
        <w:jc w:val="center"/>
        <w:rPr>
          <w:rFonts w:ascii="Times New Roman" w:hAnsi="Times New Roman"/>
          <w:b/>
          <w:bCs/>
          <w:color w:val="000000" w:themeColor="text1"/>
          <w:kern w:val="0"/>
          <w:sz w:val="24"/>
          <w:szCs w:val="24"/>
        </w:rPr>
      </w:pPr>
      <w:r>
        <w:rPr>
          <w:rFonts w:hint="eastAsia" w:ascii="宋体" w:hAnsi="宋体"/>
          <w:b/>
          <w:bCs/>
          <w:color w:val="000000" w:themeColor="text1"/>
          <w:kern w:val="0"/>
          <w:sz w:val="24"/>
          <w:szCs w:val="24"/>
        </w:rPr>
        <w:t>表</w:t>
      </w:r>
      <w:r>
        <w:rPr>
          <w:rFonts w:hint="eastAsia" w:ascii="Times New Roman" w:hAnsi="Times New Roman"/>
          <w:b/>
          <w:bCs/>
          <w:color w:val="000000" w:themeColor="text1"/>
          <w:kern w:val="0"/>
          <w:sz w:val="24"/>
          <w:szCs w:val="24"/>
        </w:rPr>
        <w:t xml:space="preserve">3-9 </w:t>
      </w:r>
      <w:r>
        <w:rPr>
          <w:rFonts w:hint="eastAsia" w:ascii="Times New Roman" w:hAnsi="Times New Roman"/>
          <w:b/>
          <w:bCs/>
          <w:kern w:val="0"/>
          <w:sz w:val="24"/>
          <w:szCs w:val="24"/>
        </w:rPr>
        <w:t>中远期泉州台商投资区增设农村物流服务点</w:t>
      </w:r>
      <w:r>
        <w:rPr>
          <w:rFonts w:hint="eastAsia" w:ascii="宋体" w:hAnsi="宋体"/>
          <w:b/>
          <w:bCs/>
          <w:kern w:val="0"/>
          <w:sz w:val="24"/>
          <w:szCs w:val="24"/>
        </w:rPr>
        <w:t>的设备配置</w:t>
      </w:r>
    </w:p>
    <w:tbl>
      <w:tblPr>
        <w:tblStyle w:val="43"/>
        <w:tblW w:w="84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6"/>
        <w:gridCol w:w="5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76" w:type="dxa"/>
          </w:tcPr>
          <w:p>
            <w:pPr>
              <w:spacing w:before="0" w:after="0" w:line="300" w:lineRule="auto"/>
              <w:ind w:left="0" w:firstLine="0"/>
              <w:jc w:val="center"/>
              <w:rPr>
                <w:rFonts w:eastAsia="Times New Roman" w:cstheme="minorBidi"/>
                <w:b/>
                <w:bCs/>
                <w:color w:val="000000" w:themeColor="text1"/>
                <w:kern w:val="0"/>
              </w:rPr>
            </w:pPr>
            <w:r>
              <w:rPr>
                <w:rFonts w:hint="eastAsia" w:ascii="宋体" w:hAnsi="宋体" w:eastAsia="Times New Roman" w:cstheme="minorBidi"/>
                <w:b/>
                <w:bCs/>
                <w:color w:val="000000" w:themeColor="text1"/>
              </w:rPr>
              <w:t>A类农村物流服务点</w:t>
            </w:r>
          </w:p>
        </w:tc>
        <w:tc>
          <w:tcPr>
            <w:tcW w:w="5613" w:type="dxa"/>
          </w:tcPr>
          <w:p>
            <w:pPr>
              <w:spacing w:before="0" w:after="0" w:line="300" w:lineRule="auto"/>
              <w:ind w:left="0" w:firstLine="0"/>
              <w:jc w:val="center"/>
              <w:rPr>
                <w:rFonts w:eastAsia="Times New Roman" w:cstheme="minorBidi"/>
                <w:b/>
                <w:bCs/>
                <w:color w:val="000000" w:themeColor="text1"/>
                <w:kern w:val="0"/>
              </w:rPr>
            </w:pPr>
            <w:r>
              <w:rPr>
                <w:rFonts w:hint="eastAsia" w:ascii="宋体" w:hAnsi="宋体" w:eastAsia="Times New Roman" w:cstheme="minorBidi"/>
                <w:b/>
                <w:bCs/>
                <w:color w:val="000000" w:themeColor="text1"/>
              </w:rPr>
              <w:t>B类农村物流服务点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76" w:type="dxa"/>
            <w:vAlign w:val="center"/>
          </w:tcPr>
          <w:p>
            <w:pPr>
              <w:spacing w:before="0" w:after="0" w:line="240" w:lineRule="auto"/>
              <w:ind w:left="0" w:firstLine="0"/>
              <w:rPr>
                <w:rFonts w:cs="宋体" w:asciiTheme="minorEastAsia" w:hAnsiTheme="minorEastAsia" w:eastAsiaTheme="minorEastAsia"/>
                <w:color w:val="000000" w:themeColor="text1"/>
                <w:sz w:val="24"/>
                <w:szCs w:val="24"/>
                <w:shd w:val="clear" w:color="auto" w:fill="FFFFFF"/>
              </w:rPr>
            </w:pPr>
            <w:r>
              <w:rPr>
                <w:rFonts w:hint="eastAsia" w:cs="微软雅黑" w:asciiTheme="minorEastAsia" w:hAnsiTheme="minorEastAsia" w:eastAsiaTheme="minorEastAsia"/>
                <w:color w:val="000000" w:themeColor="text1"/>
                <w:sz w:val="24"/>
                <w:szCs w:val="24"/>
                <w:shd w:val="clear" w:color="auto" w:fill="FFFFFF"/>
              </w:rPr>
              <w:t>锦厝村、长新村、凤浦村、东园村、下宫村、上塘村、浮山村、玉埕村、里春村</w:t>
            </w:r>
          </w:p>
        </w:tc>
        <w:tc>
          <w:tcPr>
            <w:tcW w:w="5613" w:type="dxa"/>
            <w:vAlign w:val="center"/>
          </w:tcPr>
          <w:p>
            <w:pPr>
              <w:spacing w:before="0" w:after="0" w:line="240" w:lineRule="auto"/>
              <w:ind w:left="0" w:firstLine="0"/>
              <w:rPr>
                <w:rFonts w:asciiTheme="minorEastAsia" w:hAnsiTheme="minorEastAsia" w:eastAsiaTheme="minorEastAsia" w:cstheme="minorBidi"/>
                <w:color w:val="000000" w:themeColor="text1"/>
                <w:sz w:val="24"/>
                <w:szCs w:val="24"/>
                <w:shd w:val="clear" w:color="auto" w:fill="FFFFFF"/>
              </w:rPr>
            </w:pPr>
            <w:r>
              <w:rPr>
                <w:rFonts w:hint="eastAsia" w:ascii="Times New Roman" w:hAnsi="Times New Roman" w:eastAsia="Times New Roman" w:cstheme="minorBidi"/>
                <w:color w:val="000000" w:themeColor="text1"/>
                <w:sz w:val="24"/>
                <w:szCs w:val="24"/>
                <w:shd w:val="clear" w:color="auto" w:fill="FFFFFF"/>
              </w:rPr>
              <w:t>白沙二村、后亭村、西方村、后埔村、前园村、屿头村、洛阳村、万安村、堂头村、杏田村、梅岭村、云庄村、陈埭头村、溪庄村、玉坂村、龙苍村、上林村、仑山村、灵溪村、锦峰村、群青村、秀涂村、琅山村、阳光村、下垵村、浮山村、前见村、玉田村、群力村、张坂村、后边村、苍霞村、下垵村、苏坑村、前见村、后见村、群贤村、崇山村、白奇村、莲埭村。</w:t>
            </w:r>
          </w:p>
        </w:tc>
      </w:tr>
      <w:bookmarkEnd w:id="23"/>
    </w:tbl>
    <w:p>
      <w:pPr>
        <w:pStyle w:val="3"/>
        <w:numPr>
          <w:ilvl w:val="1"/>
          <w:numId w:val="2"/>
        </w:numPr>
        <w:ind w:left="783"/>
        <w:jc w:val="left"/>
        <w:rPr>
          <w:rFonts w:ascii="Times New Roman" w:hAnsi="Times New Roman"/>
          <w:color w:val="000000" w:themeColor="text1"/>
        </w:rPr>
      </w:pPr>
      <w:bookmarkStart w:id="24" w:name="_Toc528526457"/>
      <w:r>
        <w:rPr>
          <w:rFonts w:hint="eastAsia" w:ascii="Times New Roman" w:hAnsi="Times New Roman"/>
          <w:color w:val="000000" w:themeColor="text1"/>
        </w:rPr>
        <w:t>配送网络线路设计</w:t>
      </w:r>
      <w:bookmarkEnd w:id="24"/>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根据调查，近年来城区发展迅速，整个农村区域的人口分布较广，村与村之间、乡与乡之间的距离远，导致了物流成本的上升以及对其可控性的下降。特别是快递员收发快件的效率其实并不高，快递量少，客户分散，快递成本高。因此第三方物流企业在农村的物流网点建设一般是设置在城区和乡镇，在乡村的用户寄收快递，很多时候需要去乡镇自取。并且实现规范化的网点少之又少，村民基本上只能通过自取的方式寄取快递。</w:t>
      </w:r>
    </w:p>
    <w:p>
      <w:pPr>
        <w:spacing w:before="0" w:after="0" w:line="360" w:lineRule="auto"/>
        <w:ind w:left="0" w:firstLine="560" w:firstLineChars="200"/>
        <w:rPr>
          <w:rFonts w:ascii="宋体" w:hAnsi="宋体" w:cs="宋体"/>
          <w:bCs/>
          <w:color w:val="000000" w:themeColor="text1"/>
          <w:sz w:val="28"/>
          <w:szCs w:val="28"/>
        </w:rPr>
      </w:pPr>
      <w:r>
        <w:rPr>
          <w:rFonts w:hint="eastAsia" w:ascii="宋体" w:hAnsi="宋体" w:cs="宋体"/>
          <w:color w:val="000000" w:themeColor="text1"/>
          <w:sz w:val="28"/>
          <w:szCs w:val="28"/>
        </w:rPr>
        <w:t>手机的普及、4G网络全面覆盖、 农村淘宝、京东商城对农村各项基础设施的前期建设，为我们的农村物流设计提供了有利条件。从整个农村物流网络体系规划来看，从区级物流服务中心开始，货物通过客车与小货车运送至乡镇农村服务站，由于镇下属的村比较多，又很分散，为了使配送过程更加合理，对于路线的优化使很非常重要。</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3.6.1 节约里程法</w:t>
      </w:r>
    </w:p>
    <w:p>
      <w:pPr>
        <w:spacing w:before="0" w:after="0" w:line="360" w:lineRule="auto"/>
        <w:ind w:left="0" w:firstLine="420" w:firstLineChars="150"/>
        <w:rPr>
          <w:rFonts w:ascii="宋体" w:hAnsi="宋体" w:cs="宋体"/>
          <w:color w:val="000000" w:themeColor="text1"/>
          <w:sz w:val="28"/>
          <w:szCs w:val="28"/>
        </w:rPr>
      </w:pPr>
      <w:r>
        <w:rPr>
          <w:rFonts w:hint="eastAsia" w:ascii="宋体" w:hAnsi="宋体" w:cs="宋体"/>
          <w:color w:val="000000" w:themeColor="text1"/>
          <w:sz w:val="28"/>
          <w:szCs w:val="28"/>
        </w:rPr>
        <w:t>（1）节约法的基本规定。</w:t>
      </w:r>
    </w:p>
    <w:p>
      <w:pPr>
        <w:spacing w:before="0" w:after="0" w:line="360" w:lineRule="auto"/>
        <w:ind w:left="0" w:firstLine="552" w:firstLineChars="200"/>
        <w:rPr>
          <w:rFonts w:ascii="宋体" w:hAnsi="宋体" w:cs="宋体"/>
          <w:color w:val="000000" w:themeColor="text1"/>
          <w:spacing w:val="-2"/>
          <w:sz w:val="28"/>
          <w:szCs w:val="28"/>
        </w:rPr>
      </w:pPr>
      <w:r>
        <w:rPr>
          <w:rFonts w:hint="eastAsia" w:ascii="宋体" w:hAnsi="宋体" w:cs="宋体"/>
          <w:color w:val="000000" w:themeColor="text1"/>
          <w:spacing w:val="-2"/>
          <w:sz w:val="28"/>
          <w:szCs w:val="28"/>
        </w:rPr>
        <w:t>利用里程节约法确定配送线路的主要出发点是，根据配送方的运输能力及其到客户之间的距离和各客户之间的相对距离来制订使配送车辆总的周转量达到或接近最小的配送方案。</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为方便介绍，假设：</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fldChar w:fldCharType="begin"/>
      </w:r>
      <w:r>
        <w:rPr>
          <w:rFonts w:hint="eastAsia" w:ascii="宋体" w:hAnsi="宋体" w:cs="宋体"/>
          <w:color w:val="000000" w:themeColor="text1"/>
          <w:sz w:val="28"/>
          <w:szCs w:val="28"/>
        </w:rPr>
        <w:instrText xml:space="preserve"> = 1 \* GB3 </w:instrText>
      </w:r>
      <w:r>
        <w:rPr>
          <w:rFonts w:hint="eastAsia" w:ascii="宋体" w:hAnsi="宋体" w:cs="宋体"/>
          <w:color w:val="000000" w:themeColor="text1"/>
          <w:sz w:val="28"/>
          <w:szCs w:val="28"/>
        </w:rPr>
        <w:fldChar w:fldCharType="separate"/>
      </w:r>
      <w:r>
        <w:rPr>
          <w:rFonts w:hint="eastAsia" w:ascii="宋体" w:hAnsi="宋体" w:cs="宋体"/>
          <w:color w:val="000000" w:themeColor="text1"/>
          <w:sz w:val="28"/>
          <w:szCs w:val="28"/>
        </w:rPr>
        <w:t>①</w:t>
      </w:r>
      <w:r>
        <w:rPr>
          <w:rFonts w:hint="eastAsia" w:ascii="宋体" w:hAnsi="宋体" w:cs="宋体"/>
          <w:color w:val="000000" w:themeColor="text1"/>
          <w:sz w:val="28"/>
          <w:szCs w:val="28"/>
        </w:rPr>
        <w:fldChar w:fldCharType="end"/>
      </w:r>
      <w:r>
        <w:rPr>
          <w:rFonts w:hint="eastAsia" w:ascii="宋体" w:hAnsi="宋体" w:cs="宋体"/>
          <w:color w:val="000000" w:themeColor="text1"/>
          <w:sz w:val="28"/>
          <w:szCs w:val="28"/>
        </w:rPr>
        <w:t xml:space="preserve"> 配送的是同一种或相类似的货物；</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fldChar w:fldCharType="begin"/>
      </w:r>
      <w:r>
        <w:rPr>
          <w:rFonts w:hint="eastAsia" w:ascii="宋体" w:hAnsi="宋体" w:cs="宋体"/>
          <w:color w:val="000000" w:themeColor="text1"/>
          <w:sz w:val="28"/>
          <w:szCs w:val="28"/>
        </w:rPr>
        <w:instrText xml:space="preserve"> = 2 \* GB3 </w:instrText>
      </w:r>
      <w:r>
        <w:rPr>
          <w:rFonts w:hint="eastAsia" w:ascii="宋体" w:hAnsi="宋体" w:cs="宋体"/>
          <w:color w:val="000000" w:themeColor="text1"/>
          <w:sz w:val="28"/>
          <w:szCs w:val="28"/>
        </w:rPr>
        <w:fldChar w:fldCharType="separate"/>
      </w:r>
      <w:r>
        <w:rPr>
          <w:rFonts w:hint="eastAsia" w:ascii="宋体" w:hAnsi="宋体" w:cs="宋体"/>
          <w:color w:val="000000" w:themeColor="text1"/>
          <w:sz w:val="28"/>
          <w:szCs w:val="28"/>
        </w:rPr>
        <w:t>②</w:t>
      </w:r>
      <w:r>
        <w:rPr>
          <w:rFonts w:hint="eastAsia" w:ascii="宋体" w:hAnsi="宋体" w:cs="宋体"/>
          <w:color w:val="000000" w:themeColor="text1"/>
          <w:sz w:val="28"/>
          <w:szCs w:val="28"/>
        </w:rPr>
        <w:fldChar w:fldCharType="end"/>
      </w:r>
      <w:r>
        <w:rPr>
          <w:rFonts w:hint="eastAsia" w:ascii="宋体" w:hAnsi="宋体" w:cs="宋体"/>
          <w:color w:val="000000" w:themeColor="text1"/>
          <w:sz w:val="28"/>
          <w:szCs w:val="28"/>
        </w:rPr>
        <w:t xml:space="preserve"> 各用户的位置及需求量已知；</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fldChar w:fldCharType="begin"/>
      </w:r>
      <w:r>
        <w:rPr>
          <w:rFonts w:hint="eastAsia" w:ascii="宋体" w:hAnsi="宋体" w:cs="宋体"/>
          <w:color w:val="000000" w:themeColor="text1"/>
          <w:sz w:val="28"/>
          <w:szCs w:val="28"/>
        </w:rPr>
        <w:instrText xml:space="preserve"> = 3 \* GB3 </w:instrText>
      </w:r>
      <w:r>
        <w:rPr>
          <w:rFonts w:hint="eastAsia" w:ascii="宋体" w:hAnsi="宋体" w:cs="宋体"/>
          <w:color w:val="000000" w:themeColor="text1"/>
          <w:sz w:val="28"/>
          <w:szCs w:val="28"/>
        </w:rPr>
        <w:fldChar w:fldCharType="separate"/>
      </w:r>
      <w:r>
        <w:rPr>
          <w:rFonts w:hint="eastAsia" w:ascii="宋体" w:hAnsi="宋体" w:cs="宋体"/>
          <w:color w:val="000000" w:themeColor="text1"/>
          <w:sz w:val="28"/>
          <w:szCs w:val="28"/>
        </w:rPr>
        <w:t>③</w:t>
      </w:r>
      <w:r>
        <w:rPr>
          <w:rFonts w:hint="eastAsia" w:ascii="宋体" w:hAnsi="宋体" w:cs="宋体"/>
          <w:color w:val="000000" w:themeColor="text1"/>
          <w:sz w:val="28"/>
          <w:szCs w:val="28"/>
        </w:rPr>
        <w:fldChar w:fldCharType="end"/>
      </w:r>
      <w:r>
        <w:rPr>
          <w:rFonts w:hint="eastAsia" w:ascii="宋体" w:hAnsi="宋体" w:cs="宋体"/>
          <w:color w:val="000000" w:themeColor="text1"/>
          <w:sz w:val="28"/>
          <w:szCs w:val="28"/>
        </w:rPr>
        <w:t xml:space="preserve"> 配送方有足够的运输能力；</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fldChar w:fldCharType="begin"/>
      </w:r>
      <w:r>
        <w:rPr>
          <w:rFonts w:hint="eastAsia" w:ascii="宋体" w:hAnsi="宋体" w:cs="宋体"/>
          <w:color w:val="000000" w:themeColor="text1"/>
          <w:sz w:val="28"/>
          <w:szCs w:val="28"/>
        </w:rPr>
        <w:instrText xml:space="preserve"> = 4 \* GB3 </w:instrText>
      </w:r>
      <w:r>
        <w:rPr>
          <w:rFonts w:hint="eastAsia" w:ascii="宋体" w:hAnsi="宋体" w:cs="宋体"/>
          <w:color w:val="000000" w:themeColor="text1"/>
          <w:sz w:val="28"/>
          <w:szCs w:val="28"/>
        </w:rPr>
        <w:fldChar w:fldCharType="separate"/>
      </w:r>
      <w:r>
        <w:rPr>
          <w:rFonts w:hint="eastAsia" w:ascii="宋体" w:hAnsi="宋体" w:cs="宋体"/>
          <w:color w:val="000000" w:themeColor="text1"/>
          <w:sz w:val="28"/>
          <w:szCs w:val="28"/>
        </w:rPr>
        <w:t>④</w:t>
      </w:r>
      <w:r>
        <w:rPr>
          <w:rFonts w:hint="eastAsia" w:ascii="宋体" w:hAnsi="宋体" w:cs="宋体"/>
          <w:color w:val="000000" w:themeColor="text1"/>
          <w:sz w:val="28"/>
          <w:szCs w:val="28"/>
        </w:rPr>
        <w:fldChar w:fldCharType="end"/>
      </w:r>
      <w:r>
        <w:rPr>
          <w:rFonts w:hint="eastAsia" w:ascii="宋体" w:hAnsi="宋体" w:cs="宋体"/>
          <w:color w:val="000000" w:themeColor="text1"/>
          <w:sz w:val="28"/>
          <w:szCs w:val="28"/>
        </w:rPr>
        <w:t xml:space="preserve"> 设状态参数为</w:t>
      </w:r>
      <w:r>
        <w:rPr>
          <w:rFonts w:hint="eastAsia" w:ascii="宋体" w:hAnsi="宋体" w:cs="宋体"/>
          <w:i/>
          <w:color w:val="000000" w:themeColor="text1"/>
          <w:sz w:val="28"/>
          <w:szCs w:val="28"/>
        </w:rPr>
        <w:t>t</w:t>
      </w:r>
      <w:r>
        <w:rPr>
          <w:rFonts w:hint="eastAsia" w:ascii="宋体" w:hAnsi="宋体" w:cs="宋体"/>
          <w:i/>
          <w:color w:val="000000" w:themeColor="text1"/>
          <w:sz w:val="28"/>
          <w:szCs w:val="28"/>
          <w:vertAlign w:val="subscript"/>
        </w:rPr>
        <w:t>ij</w:t>
      </w:r>
      <w:r>
        <w:rPr>
          <w:rFonts w:hint="eastAsia" w:ascii="宋体" w:hAnsi="宋体" w:cs="宋体"/>
          <w:color w:val="000000" w:themeColor="text1"/>
          <w:sz w:val="28"/>
          <w:szCs w:val="28"/>
        </w:rPr>
        <w:t>，</w:t>
      </w:r>
      <w:r>
        <w:rPr>
          <w:rFonts w:hint="eastAsia" w:ascii="宋体" w:hAnsi="宋体" w:cs="宋体"/>
          <w:i/>
          <w:color w:val="000000" w:themeColor="text1"/>
          <w:sz w:val="28"/>
          <w:szCs w:val="28"/>
        </w:rPr>
        <w:t>t</w:t>
      </w:r>
      <w:r>
        <w:rPr>
          <w:rFonts w:hint="eastAsia" w:ascii="宋体" w:hAnsi="宋体" w:cs="宋体"/>
          <w:i/>
          <w:color w:val="000000" w:themeColor="text1"/>
          <w:sz w:val="28"/>
          <w:szCs w:val="28"/>
          <w:vertAlign w:val="subscript"/>
        </w:rPr>
        <w:t>ij</w:t>
      </w:r>
      <w:r>
        <w:rPr>
          <w:rFonts w:hint="eastAsia" w:ascii="宋体" w:hAnsi="宋体" w:cs="宋体"/>
          <w:color w:val="000000" w:themeColor="text1"/>
          <w:sz w:val="28"/>
          <w:szCs w:val="28"/>
        </w:rPr>
        <w:t>是这样定义的：</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i/>
          <w:color w:val="000000" w:themeColor="text1"/>
          <w:sz w:val="28"/>
          <w:szCs w:val="28"/>
        </w:rPr>
        <w:t>t</w:t>
      </w:r>
      <w:r>
        <w:rPr>
          <w:rFonts w:hint="eastAsia" w:ascii="宋体" w:hAnsi="宋体" w:cs="宋体"/>
          <w:i/>
          <w:color w:val="000000" w:themeColor="text1"/>
          <w:sz w:val="28"/>
          <w:szCs w:val="28"/>
          <w:vertAlign w:val="subscript"/>
        </w:rPr>
        <w:t>ij</w:t>
      </w:r>
      <w:r>
        <w:rPr>
          <w:rFonts w:hint="eastAsia" w:ascii="宋体" w:hAnsi="宋体" w:cs="宋体"/>
          <w:color w:val="000000" w:themeColor="text1"/>
          <w:sz w:val="28"/>
          <w:szCs w:val="28"/>
        </w:rPr>
        <w:t>＝｛1，表示客户</w:t>
      </w:r>
      <w:r>
        <w:rPr>
          <w:rFonts w:hint="eastAsia" w:ascii="宋体" w:hAnsi="宋体" w:cs="宋体"/>
          <w:i/>
          <w:color w:val="000000" w:themeColor="text1"/>
          <w:sz w:val="28"/>
          <w:szCs w:val="28"/>
        </w:rPr>
        <w:t>i</w:t>
      </w:r>
      <w:r>
        <w:rPr>
          <w:rFonts w:hint="eastAsia" w:ascii="宋体" w:hAnsi="宋体" w:cs="宋体"/>
          <w:color w:val="000000" w:themeColor="text1"/>
          <w:sz w:val="28"/>
          <w:szCs w:val="28"/>
        </w:rPr>
        <w:t>、</w:t>
      </w:r>
      <w:r>
        <w:rPr>
          <w:rFonts w:hint="eastAsia" w:ascii="宋体" w:hAnsi="宋体" w:cs="宋体"/>
          <w:i/>
          <w:color w:val="000000" w:themeColor="text1"/>
          <w:sz w:val="28"/>
          <w:szCs w:val="28"/>
        </w:rPr>
        <w:t>j</w:t>
      </w:r>
      <w:r>
        <w:rPr>
          <w:rFonts w:hint="eastAsia" w:ascii="宋体" w:hAnsi="宋体" w:cs="宋体"/>
          <w:color w:val="000000" w:themeColor="text1"/>
          <w:sz w:val="28"/>
          <w:szCs w:val="28"/>
        </w:rPr>
        <w:t>在同一送货线路上；0，表示客户</w:t>
      </w:r>
      <w:r>
        <w:rPr>
          <w:rFonts w:hint="eastAsia" w:ascii="宋体" w:hAnsi="宋体" w:cs="宋体"/>
          <w:i/>
          <w:color w:val="000000" w:themeColor="text1"/>
          <w:sz w:val="28"/>
          <w:szCs w:val="28"/>
        </w:rPr>
        <w:t>i</w:t>
      </w:r>
      <w:r>
        <w:rPr>
          <w:rFonts w:hint="eastAsia" w:ascii="宋体" w:hAnsi="宋体" w:cs="宋体"/>
          <w:color w:val="000000" w:themeColor="text1"/>
          <w:sz w:val="28"/>
          <w:szCs w:val="28"/>
        </w:rPr>
        <w:t>、</w:t>
      </w:r>
      <w:r>
        <w:rPr>
          <w:rFonts w:hint="eastAsia" w:ascii="宋体" w:hAnsi="宋体" w:cs="宋体"/>
          <w:i/>
          <w:color w:val="000000" w:themeColor="text1"/>
          <w:sz w:val="28"/>
          <w:szCs w:val="28"/>
        </w:rPr>
        <w:t>j</w:t>
      </w:r>
      <w:r>
        <w:rPr>
          <w:rFonts w:hint="eastAsia" w:ascii="宋体" w:hAnsi="宋体" w:cs="宋体"/>
          <w:color w:val="000000" w:themeColor="text1"/>
          <w:sz w:val="28"/>
          <w:szCs w:val="28"/>
        </w:rPr>
        <w:t>不在同一送货线路上。｝</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i/>
          <w:color w:val="000000" w:themeColor="text1"/>
          <w:sz w:val="28"/>
          <w:szCs w:val="28"/>
        </w:rPr>
        <w:t>t</w:t>
      </w:r>
      <w:r>
        <w:rPr>
          <w:rFonts w:hint="eastAsia" w:ascii="宋体" w:hAnsi="宋体" w:cs="宋体"/>
          <w:color w:val="000000" w:themeColor="text1"/>
          <w:sz w:val="28"/>
          <w:szCs w:val="28"/>
          <w:vertAlign w:val="subscript"/>
        </w:rPr>
        <w:t>0</w:t>
      </w:r>
      <w:r>
        <w:rPr>
          <w:rFonts w:hint="eastAsia" w:ascii="宋体" w:hAnsi="宋体" w:cs="宋体"/>
          <w:i/>
          <w:color w:val="000000" w:themeColor="text1"/>
          <w:sz w:val="28"/>
          <w:szCs w:val="28"/>
          <w:vertAlign w:val="subscript"/>
        </w:rPr>
        <w:t xml:space="preserve">j </w:t>
      </w:r>
      <w:r>
        <w:rPr>
          <w:rFonts w:hint="eastAsia" w:ascii="宋体" w:hAnsi="宋体" w:cs="宋体"/>
          <w:color w:val="000000" w:themeColor="text1"/>
          <w:sz w:val="28"/>
          <w:szCs w:val="28"/>
        </w:rPr>
        <w:t>= 2表示由</w:t>
      </w:r>
      <w:r>
        <w:rPr>
          <w:rFonts w:hint="eastAsia" w:ascii="宋体" w:hAnsi="宋体" w:cs="宋体"/>
          <w:i/>
          <w:color w:val="000000" w:themeColor="text1"/>
          <w:sz w:val="28"/>
          <w:szCs w:val="28"/>
        </w:rPr>
        <w:t>P</w:t>
      </w:r>
      <w:r>
        <w:rPr>
          <w:rFonts w:hint="eastAsia" w:ascii="宋体" w:hAnsi="宋体" w:cs="宋体"/>
          <w:color w:val="000000" w:themeColor="text1"/>
          <w:sz w:val="28"/>
          <w:szCs w:val="28"/>
          <w:vertAlign w:val="subscript"/>
        </w:rPr>
        <w:t>0</w:t>
      </w:r>
      <w:r>
        <w:rPr>
          <w:rFonts w:hint="eastAsia" w:ascii="宋体" w:hAnsi="宋体" w:cs="宋体"/>
          <w:color w:val="000000" w:themeColor="text1"/>
          <w:sz w:val="28"/>
          <w:szCs w:val="28"/>
        </w:rPr>
        <w:t>向客户了单独派车送货。</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且所有状态参数应满足下式：</w:t>
      </w:r>
    </w:p>
    <w:p>
      <w:pPr>
        <w:snapToGrid w:val="0"/>
        <w:spacing w:before="0" w:after="0" w:line="360" w:lineRule="auto"/>
        <w:ind w:left="140" w:hanging="140" w:hangingChars="50"/>
        <w:jc w:val="center"/>
        <w:rPr>
          <w:rFonts w:ascii="宋体" w:hAnsi="宋体" w:cs="宋体"/>
          <w:color w:val="000000" w:themeColor="text1"/>
          <w:sz w:val="28"/>
          <w:szCs w:val="28"/>
        </w:rPr>
      </w:pPr>
      <w:r>
        <w:rPr>
          <w:rFonts w:hint="eastAsia" w:ascii="宋体" w:hAnsi="宋体" w:cs="宋体"/>
          <w:color w:val="000000" w:themeColor="text1"/>
          <w:position w:val="-26"/>
          <w:sz w:val="28"/>
          <w:szCs w:val="28"/>
        </w:rPr>
        <w:object>
          <v:shape id="_x0000_i1025" o:spt="75" type="#_x0000_t75" style="height:30.85pt;width:72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r>
        <w:rPr>
          <w:rFonts w:hint="eastAsia" w:ascii="宋体" w:hAnsi="宋体" w:cs="宋体"/>
          <w:color w:val="000000" w:themeColor="text1"/>
          <w:sz w:val="28"/>
          <w:szCs w:val="28"/>
        </w:rPr>
        <w:t xml:space="preserve">  （</w:t>
      </w:r>
      <w:r>
        <w:rPr>
          <w:rFonts w:hint="eastAsia" w:ascii="宋体" w:hAnsi="宋体" w:cs="宋体"/>
          <w:i/>
          <w:color w:val="000000" w:themeColor="text1"/>
          <w:sz w:val="28"/>
          <w:szCs w:val="28"/>
        </w:rPr>
        <w:t>j</w:t>
      </w:r>
      <w:r>
        <w:rPr>
          <w:rFonts w:hint="eastAsia" w:ascii="宋体" w:hAnsi="宋体" w:cs="宋体"/>
          <w:color w:val="000000" w:themeColor="text1"/>
          <w:sz w:val="28"/>
          <w:szCs w:val="28"/>
        </w:rPr>
        <w:t xml:space="preserve"> ＝1，2，…，</w:t>
      </w:r>
      <w:r>
        <w:rPr>
          <w:rFonts w:hint="eastAsia" w:ascii="宋体" w:hAnsi="宋体" w:cs="宋体"/>
          <w:i/>
          <w:color w:val="000000" w:themeColor="text1"/>
          <w:sz w:val="28"/>
          <w:szCs w:val="28"/>
        </w:rPr>
        <w:t>N</w:t>
      </w:r>
      <w:r>
        <w:rPr>
          <w:rFonts w:hint="eastAsia" w:ascii="宋体" w:hAnsi="宋体" w:cs="宋体"/>
          <w:color w:val="000000" w:themeColor="text1"/>
          <w:sz w:val="28"/>
          <w:szCs w:val="28"/>
        </w:rPr>
        <w:t>）</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式中：</w:t>
      </w:r>
      <w:r>
        <w:rPr>
          <w:rFonts w:hint="eastAsia" w:ascii="宋体" w:hAnsi="宋体" w:cs="宋体"/>
          <w:i/>
          <w:color w:val="000000" w:themeColor="text1"/>
          <w:sz w:val="28"/>
          <w:szCs w:val="28"/>
        </w:rPr>
        <w:t>N</w:t>
      </w:r>
      <w:r>
        <w:rPr>
          <w:rFonts w:hint="eastAsia" w:ascii="宋体" w:hAnsi="宋体" w:cs="宋体"/>
          <w:color w:val="000000" w:themeColor="text1"/>
          <w:sz w:val="28"/>
          <w:szCs w:val="28"/>
        </w:rPr>
        <w:t>——客户数。</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利用节约法制订出的配送方案除了使总的周转量最小外，还应满足：</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fldChar w:fldCharType="begin"/>
      </w:r>
      <w:r>
        <w:rPr>
          <w:rFonts w:hint="eastAsia" w:ascii="宋体" w:hAnsi="宋体" w:cs="宋体"/>
          <w:color w:val="000000" w:themeColor="text1"/>
          <w:sz w:val="28"/>
          <w:szCs w:val="28"/>
        </w:rPr>
        <w:instrText xml:space="preserve"> = 1 \* GB3 </w:instrText>
      </w:r>
      <w:r>
        <w:rPr>
          <w:rFonts w:hint="eastAsia" w:ascii="宋体" w:hAnsi="宋体" w:cs="宋体"/>
          <w:color w:val="000000" w:themeColor="text1"/>
          <w:sz w:val="28"/>
          <w:szCs w:val="28"/>
        </w:rPr>
        <w:fldChar w:fldCharType="separate"/>
      </w:r>
      <w:r>
        <w:rPr>
          <w:rFonts w:hint="eastAsia" w:ascii="宋体" w:hAnsi="宋体" w:cs="宋体"/>
          <w:color w:val="000000" w:themeColor="text1"/>
          <w:sz w:val="28"/>
          <w:szCs w:val="28"/>
        </w:rPr>
        <w:t>①</w:t>
      </w:r>
      <w:r>
        <w:rPr>
          <w:rFonts w:hint="eastAsia" w:ascii="宋体" w:hAnsi="宋体" w:cs="宋体"/>
          <w:color w:val="000000" w:themeColor="text1"/>
          <w:sz w:val="28"/>
          <w:szCs w:val="28"/>
        </w:rPr>
        <w:fldChar w:fldCharType="end"/>
      </w:r>
      <w:r>
        <w:rPr>
          <w:rFonts w:hint="eastAsia" w:ascii="宋体" w:hAnsi="宋体" w:cs="宋体"/>
          <w:color w:val="000000" w:themeColor="text1"/>
          <w:sz w:val="28"/>
          <w:szCs w:val="28"/>
        </w:rPr>
        <w:t xml:space="preserve"> 方案能满足所有用户的到货时间要求；</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fldChar w:fldCharType="begin"/>
      </w:r>
      <w:r>
        <w:rPr>
          <w:rFonts w:hint="eastAsia" w:ascii="宋体" w:hAnsi="宋体" w:cs="宋体"/>
          <w:color w:val="000000" w:themeColor="text1"/>
          <w:sz w:val="28"/>
          <w:szCs w:val="28"/>
        </w:rPr>
        <w:instrText xml:space="preserve"> = 2 \* GB3 </w:instrText>
      </w:r>
      <w:r>
        <w:rPr>
          <w:rFonts w:hint="eastAsia" w:ascii="宋体" w:hAnsi="宋体" w:cs="宋体"/>
          <w:color w:val="000000" w:themeColor="text1"/>
          <w:sz w:val="28"/>
          <w:szCs w:val="28"/>
        </w:rPr>
        <w:fldChar w:fldCharType="separate"/>
      </w:r>
      <w:r>
        <w:rPr>
          <w:rFonts w:hint="eastAsia" w:ascii="宋体" w:hAnsi="宋体" w:cs="宋体"/>
          <w:color w:val="000000" w:themeColor="text1"/>
          <w:sz w:val="28"/>
          <w:szCs w:val="28"/>
        </w:rPr>
        <w:t>②</w:t>
      </w:r>
      <w:r>
        <w:rPr>
          <w:rFonts w:hint="eastAsia" w:ascii="宋体" w:hAnsi="宋体" w:cs="宋体"/>
          <w:color w:val="000000" w:themeColor="text1"/>
          <w:sz w:val="28"/>
          <w:szCs w:val="28"/>
        </w:rPr>
        <w:fldChar w:fldCharType="end"/>
      </w:r>
      <w:r>
        <w:rPr>
          <w:rFonts w:hint="eastAsia" w:ascii="宋体" w:hAnsi="宋体" w:cs="宋体"/>
          <w:color w:val="000000" w:themeColor="text1"/>
          <w:sz w:val="28"/>
          <w:szCs w:val="28"/>
        </w:rPr>
        <w:t xml:space="preserve"> 不使车辆超载；</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fldChar w:fldCharType="begin"/>
      </w:r>
      <w:r>
        <w:rPr>
          <w:rFonts w:hint="eastAsia" w:ascii="宋体" w:hAnsi="宋体" w:cs="宋体"/>
          <w:color w:val="000000" w:themeColor="text1"/>
          <w:sz w:val="28"/>
          <w:szCs w:val="28"/>
        </w:rPr>
        <w:instrText xml:space="preserve"> = 3 \* GB3 </w:instrText>
      </w:r>
      <w:r>
        <w:rPr>
          <w:rFonts w:hint="eastAsia" w:ascii="宋体" w:hAnsi="宋体" w:cs="宋体"/>
          <w:color w:val="000000" w:themeColor="text1"/>
          <w:sz w:val="28"/>
          <w:szCs w:val="28"/>
        </w:rPr>
        <w:fldChar w:fldCharType="separate"/>
      </w:r>
      <w:r>
        <w:rPr>
          <w:rFonts w:hint="eastAsia" w:ascii="宋体" w:hAnsi="宋体" w:cs="宋体"/>
          <w:color w:val="000000" w:themeColor="text1"/>
          <w:sz w:val="28"/>
          <w:szCs w:val="28"/>
        </w:rPr>
        <w:t>③</w:t>
      </w:r>
      <w:r>
        <w:rPr>
          <w:rFonts w:hint="eastAsia" w:ascii="宋体" w:hAnsi="宋体" w:cs="宋体"/>
          <w:color w:val="000000" w:themeColor="text1"/>
          <w:sz w:val="28"/>
          <w:szCs w:val="28"/>
        </w:rPr>
        <w:fldChar w:fldCharType="end"/>
      </w:r>
      <w:r>
        <w:rPr>
          <w:rFonts w:hint="eastAsia" w:ascii="宋体" w:hAnsi="宋体" w:cs="宋体"/>
          <w:color w:val="000000" w:themeColor="text1"/>
          <w:sz w:val="28"/>
          <w:szCs w:val="28"/>
        </w:rPr>
        <w:t xml:space="preserve"> 每辆车每天的总运行时间及里程满足规定的要求。</w:t>
      </w:r>
    </w:p>
    <w:p>
      <w:pPr>
        <w:spacing w:before="0" w:after="0" w:line="360" w:lineRule="auto"/>
        <w:ind w:left="0" w:firstLine="420" w:firstLineChars="150"/>
        <w:rPr>
          <w:rFonts w:ascii="宋体" w:hAnsi="宋体" w:cs="宋体"/>
          <w:color w:val="000000" w:themeColor="text1"/>
          <w:sz w:val="28"/>
          <w:szCs w:val="28"/>
        </w:rPr>
      </w:pPr>
      <w:r>
        <w:rPr>
          <w:rFonts w:hint="eastAsia" w:ascii="宋体" w:hAnsi="宋体" w:cs="宋体"/>
          <w:color w:val="000000" w:themeColor="text1"/>
          <w:sz w:val="28"/>
          <w:szCs w:val="28"/>
        </w:rPr>
        <w:t>（2）节约法的基本思想</w:t>
      </w:r>
    </w:p>
    <w:p>
      <w:pPr>
        <w:spacing w:before="0" w:after="0" w:line="360" w:lineRule="auto"/>
        <w:ind w:left="0" w:firstLine="568" w:firstLineChars="200"/>
        <w:rPr>
          <w:rFonts w:ascii="宋体" w:hAnsi="宋体" w:cs="宋体"/>
          <w:color w:val="000000" w:themeColor="text1"/>
          <w:spacing w:val="2"/>
          <w:sz w:val="28"/>
          <w:szCs w:val="28"/>
        </w:rPr>
      </w:pPr>
      <w:r>
        <w:rPr>
          <w:rFonts w:hint="eastAsia" w:ascii="宋体" w:hAnsi="宋体" w:cs="宋体"/>
          <w:color w:val="000000" w:themeColor="text1"/>
          <w:spacing w:val="2"/>
          <w:sz w:val="28"/>
          <w:szCs w:val="28"/>
        </w:rPr>
        <w:t>节约法的目标是使所有车辆行驶的总里程最短，并进而使为所有站点提供服务的车辆数最少。首先假设每一个站点都有一辆虚拟的卡车提供服务，随后返回仓库（如图3-2所示，由配送中心</w:t>
      </w:r>
      <w:r>
        <w:rPr>
          <w:rFonts w:hint="eastAsia" w:ascii="宋体" w:hAnsi="宋体" w:cs="宋体"/>
          <w:i/>
          <w:color w:val="000000" w:themeColor="text1"/>
          <w:spacing w:val="2"/>
          <w:sz w:val="28"/>
          <w:szCs w:val="28"/>
        </w:rPr>
        <w:t>P</w:t>
      </w:r>
      <w:r>
        <w:rPr>
          <w:rFonts w:hint="eastAsia" w:ascii="宋体" w:hAnsi="宋体" w:cs="宋体"/>
          <w:color w:val="000000" w:themeColor="text1"/>
          <w:spacing w:val="2"/>
          <w:sz w:val="28"/>
          <w:szCs w:val="28"/>
        </w:rPr>
        <w:t>向用户</w:t>
      </w:r>
      <w:r>
        <w:rPr>
          <w:rFonts w:hint="eastAsia" w:ascii="宋体" w:hAnsi="宋体" w:cs="宋体"/>
          <w:i/>
          <w:color w:val="000000" w:themeColor="text1"/>
          <w:spacing w:val="2"/>
          <w:sz w:val="28"/>
          <w:szCs w:val="28"/>
        </w:rPr>
        <w:t>A</w:t>
      </w:r>
      <w:r>
        <w:rPr>
          <w:rFonts w:hint="eastAsia" w:ascii="宋体" w:hAnsi="宋体" w:cs="宋体"/>
          <w:color w:val="000000" w:themeColor="text1"/>
          <w:spacing w:val="2"/>
          <w:sz w:val="28"/>
          <w:szCs w:val="28"/>
        </w:rPr>
        <w:t>、</w:t>
      </w:r>
      <w:r>
        <w:rPr>
          <w:rFonts w:hint="eastAsia" w:ascii="宋体" w:hAnsi="宋体" w:cs="宋体"/>
          <w:i/>
          <w:color w:val="000000" w:themeColor="text1"/>
          <w:spacing w:val="2"/>
          <w:sz w:val="28"/>
          <w:szCs w:val="28"/>
        </w:rPr>
        <w:t>B</w:t>
      </w:r>
      <w:r>
        <w:rPr>
          <w:rFonts w:hint="eastAsia" w:ascii="宋体" w:hAnsi="宋体" w:cs="宋体"/>
          <w:color w:val="000000" w:themeColor="text1"/>
          <w:spacing w:val="2"/>
          <w:sz w:val="28"/>
          <w:szCs w:val="28"/>
        </w:rPr>
        <w:t>配货），这时的路线里程是最长的；然后，将两个站点合并到同一条线路上，减少一辆运输车，相应的缩短路线里程。在图3-3中，合并线路之前的总里程为2</w:t>
      </w:r>
      <w:r>
        <w:rPr>
          <w:rFonts w:hint="eastAsia" w:ascii="宋体" w:hAnsi="宋体" w:cs="宋体"/>
          <w:i/>
          <w:color w:val="000000" w:themeColor="text1"/>
          <w:spacing w:val="2"/>
          <w:sz w:val="28"/>
          <w:szCs w:val="28"/>
        </w:rPr>
        <w:t>PA</w:t>
      </w:r>
      <w:r>
        <w:rPr>
          <w:rFonts w:hint="eastAsia" w:ascii="宋体" w:hAnsi="宋体" w:cs="宋体"/>
          <w:color w:val="000000" w:themeColor="text1"/>
          <w:spacing w:val="2"/>
          <w:sz w:val="28"/>
          <w:szCs w:val="28"/>
        </w:rPr>
        <w:t>＋2</w:t>
      </w:r>
      <w:r>
        <w:rPr>
          <w:rFonts w:hint="eastAsia" w:ascii="宋体" w:hAnsi="宋体" w:cs="宋体"/>
          <w:i/>
          <w:color w:val="000000" w:themeColor="text1"/>
          <w:spacing w:val="2"/>
          <w:sz w:val="28"/>
          <w:szCs w:val="28"/>
        </w:rPr>
        <w:t>PB</w:t>
      </w:r>
      <w:r>
        <w:rPr>
          <w:rFonts w:hint="eastAsia" w:ascii="宋体" w:hAnsi="宋体" w:cs="宋体"/>
          <w:color w:val="000000" w:themeColor="text1"/>
          <w:spacing w:val="2"/>
          <w:sz w:val="28"/>
          <w:szCs w:val="28"/>
        </w:rPr>
        <w:t>，合并后的路线总里程为</w:t>
      </w:r>
      <w:r>
        <w:rPr>
          <w:rFonts w:hint="eastAsia" w:ascii="宋体" w:hAnsi="宋体" w:cs="宋体"/>
          <w:i/>
          <w:color w:val="000000" w:themeColor="text1"/>
          <w:spacing w:val="2"/>
          <w:sz w:val="28"/>
          <w:szCs w:val="28"/>
        </w:rPr>
        <w:t>PA</w:t>
      </w:r>
      <w:r>
        <w:rPr>
          <w:rFonts w:hint="eastAsia" w:ascii="宋体" w:hAnsi="宋体" w:cs="宋体"/>
          <w:color w:val="000000" w:themeColor="text1"/>
          <w:spacing w:val="2"/>
          <w:sz w:val="28"/>
          <w:szCs w:val="28"/>
        </w:rPr>
        <w:t>＋</w:t>
      </w:r>
      <w:r>
        <w:rPr>
          <w:rFonts w:hint="eastAsia" w:ascii="宋体" w:hAnsi="宋体" w:cs="宋体"/>
          <w:i/>
          <w:color w:val="000000" w:themeColor="text1"/>
          <w:spacing w:val="2"/>
          <w:sz w:val="28"/>
          <w:szCs w:val="28"/>
        </w:rPr>
        <w:t>AB</w:t>
      </w:r>
      <w:r>
        <w:rPr>
          <w:rFonts w:hint="eastAsia" w:ascii="宋体" w:hAnsi="宋体" w:cs="宋体"/>
          <w:color w:val="000000" w:themeColor="text1"/>
          <w:spacing w:val="2"/>
          <w:sz w:val="28"/>
          <w:szCs w:val="28"/>
        </w:rPr>
        <w:t>＋</w:t>
      </w:r>
      <w:r>
        <w:rPr>
          <w:rFonts w:hint="eastAsia" w:ascii="宋体" w:hAnsi="宋体" w:cs="宋体"/>
          <w:i/>
          <w:color w:val="000000" w:themeColor="text1"/>
          <w:spacing w:val="2"/>
          <w:sz w:val="28"/>
          <w:szCs w:val="28"/>
        </w:rPr>
        <w:t>PB</w:t>
      </w:r>
      <w:r>
        <w:rPr>
          <w:rFonts w:hint="eastAsia" w:ascii="宋体" w:hAnsi="宋体" w:cs="宋体"/>
          <w:color w:val="000000" w:themeColor="text1"/>
          <w:spacing w:val="2"/>
          <w:sz w:val="28"/>
          <w:szCs w:val="28"/>
        </w:rPr>
        <w:t>，缩短的线路里程为</w:t>
      </w:r>
      <w:r>
        <w:rPr>
          <w:rFonts w:hint="eastAsia" w:ascii="宋体" w:hAnsi="宋体" w:cs="宋体"/>
          <w:i/>
          <w:color w:val="000000" w:themeColor="text1"/>
          <w:spacing w:val="2"/>
          <w:sz w:val="28"/>
          <w:szCs w:val="28"/>
        </w:rPr>
        <w:t>PA</w:t>
      </w:r>
      <w:r>
        <w:rPr>
          <w:rFonts w:hint="eastAsia" w:ascii="宋体" w:hAnsi="宋体" w:cs="宋体"/>
          <w:color w:val="000000" w:themeColor="text1"/>
          <w:spacing w:val="2"/>
          <w:sz w:val="28"/>
          <w:szCs w:val="28"/>
        </w:rPr>
        <w:t>＋</w:t>
      </w:r>
      <w:r>
        <w:rPr>
          <w:rFonts w:hint="eastAsia" w:ascii="宋体" w:hAnsi="宋体" w:cs="宋体"/>
          <w:i/>
          <w:color w:val="000000" w:themeColor="text1"/>
          <w:spacing w:val="2"/>
          <w:sz w:val="28"/>
          <w:szCs w:val="28"/>
        </w:rPr>
        <w:t>PB</w:t>
      </w:r>
      <w:r>
        <w:rPr>
          <w:rFonts w:hint="eastAsia" w:ascii="宋体" w:hAnsi="宋体" w:cs="宋体"/>
          <w:color w:val="000000" w:themeColor="text1"/>
          <w:spacing w:val="2"/>
          <w:sz w:val="28"/>
          <w:szCs w:val="28"/>
        </w:rPr>
        <w:t>－</w:t>
      </w:r>
      <w:r>
        <w:rPr>
          <w:rFonts w:hint="eastAsia" w:ascii="宋体" w:hAnsi="宋体" w:cs="宋体"/>
          <w:i/>
          <w:color w:val="000000" w:themeColor="text1"/>
          <w:spacing w:val="2"/>
          <w:sz w:val="28"/>
          <w:szCs w:val="28"/>
        </w:rPr>
        <w:t>AB</w:t>
      </w:r>
      <w:r>
        <w:rPr>
          <w:rFonts w:hint="eastAsia" w:ascii="宋体" w:hAnsi="宋体" w:cs="宋体"/>
          <w:color w:val="000000" w:themeColor="text1"/>
          <w:spacing w:val="2"/>
          <w:sz w:val="28"/>
          <w:szCs w:val="28"/>
        </w:rPr>
        <w:t>。</w:t>
      </w:r>
    </w:p>
    <w:p>
      <w:pPr>
        <w:jc w:val="center"/>
        <w:rPr>
          <w:color w:val="000000" w:themeColor="text1"/>
          <w:sz w:val="18"/>
          <w:szCs w:val="18"/>
        </w:rPr>
      </w:pPr>
      <w:bookmarkStart w:id="25" w:name="_1293608389"/>
      <w:bookmarkEnd w:id="25"/>
      <w:bookmarkStart w:id="26" w:name="_1292158932"/>
      <w:bookmarkEnd w:id="26"/>
      <w:bookmarkStart w:id="27" w:name="_1292158948"/>
      <w:bookmarkEnd w:id="27"/>
      <w:r>
        <w:rPr>
          <w:color w:val="000000" w:themeColor="text1"/>
          <w:sz w:val="18"/>
          <w:szCs w:val="18"/>
        </w:rPr>
        <w:object>
          <v:shape id="_x0000_i1026" o:spt="75" type="#_x0000_t75" style="height:81.35pt;width:73.85pt;" o:ole="t" filled="f" o:preferrelative="t" stroked="f" coordsize="21600,21600">
            <v:path/>
            <v:fill on="f" focussize="0,0"/>
            <v:stroke on="f" joinstyle="miter"/>
            <v:imagedata r:id="rId22" cropright="-38627f" cropbottom="-46524f" o:title=""/>
            <o:lock v:ext="edit" aspectratio="t"/>
            <w10:wrap type="none"/>
            <w10:anchorlock/>
          </v:shape>
          <o:OLEObject Type="Embed" ProgID="Word.Picture.8" ShapeID="_x0000_i1026" DrawAspect="Content" ObjectID="_1468075726" r:id="rId21">
            <o:LockedField>false</o:LockedField>
          </o:OLEObject>
        </w:object>
      </w:r>
      <w:r>
        <w:rPr>
          <w:rFonts w:hint="eastAsia"/>
          <w:color w:val="000000" w:themeColor="text1"/>
          <w:sz w:val="18"/>
          <w:szCs w:val="18"/>
        </w:rPr>
        <w:t xml:space="preserve">                      </w:t>
      </w:r>
      <w:bookmarkStart w:id="28" w:name="_1293608390"/>
      <w:bookmarkEnd w:id="28"/>
      <w:bookmarkStart w:id="29" w:name="_1292158972"/>
      <w:bookmarkEnd w:id="29"/>
      <w:bookmarkStart w:id="30" w:name="_1292159002"/>
      <w:bookmarkEnd w:id="30"/>
      <w:r>
        <w:rPr>
          <w:color w:val="000000" w:themeColor="text1"/>
          <w:sz w:val="18"/>
          <w:szCs w:val="18"/>
        </w:rPr>
        <w:object>
          <v:shape id="_x0000_i1027" o:spt="75" type="#_x0000_t75" style="height:81.35pt;width:75.75pt;" o:ole="t" filled="f" o:preferrelative="t" stroked="f" coordsize="21600,21600">
            <v:path/>
            <v:fill on="f" focussize="0,0"/>
            <v:stroke on="f" joinstyle="miter"/>
            <v:imagedata r:id="rId24" cropleft="5416f" cropright="-38321f" cropbottom="-41815f" o:title=""/>
            <o:lock v:ext="edit" aspectratio="t"/>
            <w10:wrap type="none"/>
            <w10:anchorlock/>
          </v:shape>
          <o:OLEObject Type="Embed" ProgID="Word.Picture.8" ShapeID="_x0000_i1027" DrawAspect="Content" ObjectID="_1468075727" r:id="rId23">
            <o:LockedField>false</o:LockedField>
          </o:OLEObject>
        </w:object>
      </w:r>
    </w:p>
    <w:p>
      <w:pPr>
        <w:widowControl/>
        <w:spacing w:before="0" w:after="0" w:line="360" w:lineRule="auto"/>
        <w:jc w:val="center"/>
        <w:rPr>
          <w:rFonts w:eastAsia="黑体"/>
          <w:color w:val="000000" w:themeColor="text1"/>
          <w:sz w:val="24"/>
          <w:szCs w:val="24"/>
        </w:rPr>
      </w:pPr>
      <w:r>
        <w:rPr>
          <w:rFonts w:hint="eastAsia" w:ascii="Times New Roman" w:hAnsi="Times New Roman"/>
          <w:b/>
          <w:bCs/>
          <w:color w:val="000000" w:themeColor="text1"/>
          <w:kern w:val="0"/>
          <w:sz w:val="24"/>
          <w:szCs w:val="18"/>
        </w:rPr>
        <w:t>图3-3   节约法原理示意图             图3-4  某配送中心配送网络图</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继续上述的合并过程。如果是多站点配送（三个及其以上），除了将两个单独的站点合并在一起外，还可以将某站点并入已经包含多个站点的线路上，同样可以达到节省配送费用，缩短线路里程的作用，缩短的里程同样可以计算出来。应该注意的是，每次合并都要计算所缩短的距离，节约距离最多的站点就应该纳入现有线路;如果由于某些约束条件（如线路过长、无法满足时间窗口的限制或车辆超载等），节约距离最多的站点不能并入该线路，则考虑节约距离次多的站点，直至该线路不能加入新的站点为止。然后重复上述整个过程至所有站点的路线设计完成。</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节约法在按照最大节约值原则将站点归入某条路线之前，预先考查加入该站点后路线的情况，而且还要考虑一系列关于路线规划的问题，如行车时间、时间窗口限制、车辆载重等。这种处理方法能够处理有众多约束条件的实际问题，而且可以同时确定路线和经过各站点的顺序，有较为强大的处理能力。但是，随着约束条件的增加，扩展问题难度加大，节约法不能保证得到最优解，但是可以获得合理解。</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3.6.2 配送路线设计</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泉州台商投资区由4个乡镇组成，因为各个镇农村人口，人口又较为分散这一情况，农村的配送点应该划分其配送范围，每个村选择距离最优的配送网点，且配送网点的选址需要在本乡镇单位人口密集的地方。据调查，乡镇的快递业务较城镇的业务量小，可以只建立一个物流配送服务网点，为了便于统一管理，按镇来划分配送区域，以镇作为配送的中心点，根据就近原则以及各个村的快递量，形成合理的路线来完成该镇下属的所有村。服务网点需要对辐射区域提供全方位快递服务，尽量解决 “最后一公里”这一问题，提高广大村民的服务满意度。</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以东园镇为例，按照节约里程法制定配送路线。</w:t>
      </w:r>
    </w:p>
    <w:p>
      <w:pPr>
        <w:snapToGrid w:val="0"/>
        <w:spacing w:before="0" w:after="0" w:line="360" w:lineRule="auto"/>
        <w:ind w:left="0" w:firstLine="480" w:firstLineChars="200"/>
        <w:jc w:val="left"/>
        <w:rPr>
          <w:rFonts w:ascii="宋体" w:hAnsi="宋体"/>
          <w:color w:val="000000" w:themeColor="text1"/>
          <w:kern w:val="0"/>
          <w:sz w:val="24"/>
          <w:szCs w:val="24"/>
        </w:rPr>
      </w:pPr>
      <w:r>
        <w:rPr>
          <w:rFonts w:hint="eastAsia" w:ascii="宋体" w:hAnsi="宋体"/>
          <w:color w:val="000000" w:themeColor="text1"/>
          <w:kern w:val="0"/>
          <w:sz w:val="24"/>
          <w:szCs w:val="24"/>
        </w:rPr>
        <w:t>第一步，制作运输里程表，算出东园镇的农村物流服务站到17个村的最短运输距离以及各个村之间的最短距离（见表3-10）。</w:t>
      </w:r>
    </w:p>
    <w:p>
      <w:pPr>
        <w:snapToGrid w:val="0"/>
        <w:spacing w:before="0" w:after="0" w:line="360" w:lineRule="auto"/>
        <w:ind w:left="0" w:firstLine="480" w:firstLineChars="200"/>
        <w:jc w:val="left"/>
        <w:rPr>
          <w:rFonts w:ascii="宋体" w:hAnsi="宋体"/>
          <w:color w:val="000000" w:themeColor="text1"/>
          <w:kern w:val="0"/>
          <w:sz w:val="24"/>
          <w:szCs w:val="24"/>
        </w:rPr>
      </w:pPr>
      <w:r>
        <w:rPr>
          <w:rFonts w:hint="eastAsia" w:ascii="宋体" w:hAnsi="宋体"/>
          <w:color w:val="000000" w:themeColor="text1"/>
          <w:kern w:val="0"/>
          <w:sz w:val="24"/>
          <w:szCs w:val="24"/>
        </w:rPr>
        <w:t>第二步：由最短距离表，利用“节约里程”法计算出各个村之间的节约里程，做出节约里程表（见表3-</w:t>
      </w:r>
      <w:r>
        <w:rPr>
          <w:rFonts w:ascii="宋体" w:hAnsi="宋体"/>
          <w:color w:val="000000" w:themeColor="text1"/>
          <w:kern w:val="0"/>
          <w:sz w:val="24"/>
          <w:szCs w:val="24"/>
        </w:rPr>
        <w:t>1</w:t>
      </w:r>
      <w:r>
        <w:rPr>
          <w:rFonts w:hint="eastAsia" w:ascii="宋体" w:hAnsi="宋体"/>
          <w:color w:val="000000" w:themeColor="text1"/>
          <w:kern w:val="0"/>
          <w:sz w:val="24"/>
          <w:szCs w:val="24"/>
        </w:rPr>
        <w:t>1）。</w:t>
      </w:r>
    </w:p>
    <w:p>
      <w:pPr>
        <w:snapToGrid w:val="0"/>
        <w:spacing w:before="0" w:after="0" w:line="360" w:lineRule="auto"/>
        <w:ind w:left="0" w:firstLine="480" w:firstLineChars="200"/>
        <w:jc w:val="left"/>
        <w:rPr>
          <w:rFonts w:ascii="宋体" w:hAnsi="宋体"/>
          <w:color w:val="000000" w:themeColor="text1"/>
          <w:kern w:val="0"/>
          <w:sz w:val="24"/>
          <w:szCs w:val="24"/>
        </w:rPr>
      </w:pPr>
      <w:r>
        <w:rPr>
          <w:rFonts w:hint="eastAsia" w:ascii="宋体" w:hAnsi="宋体"/>
          <w:color w:val="000000" w:themeColor="text1"/>
          <w:kern w:val="0"/>
          <w:sz w:val="24"/>
          <w:szCs w:val="24"/>
        </w:rPr>
        <w:t>第三步：将节约里程由大到小顺序排列，列出节约里程排序表（见表3-12），以便尽量使节约里程最多的点组合装车配送，节约里程数少的没有排序。</w:t>
      </w:r>
    </w:p>
    <w:p>
      <w:pPr>
        <w:autoSpaceDE w:val="0"/>
        <w:snapToGrid w:val="0"/>
        <w:spacing w:before="0" w:after="0" w:line="240" w:lineRule="auto"/>
        <w:ind w:left="0" w:firstLine="482" w:firstLineChars="200"/>
        <w:jc w:val="center"/>
        <w:rPr>
          <w:rFonts w:ascii="宋体" w:hAnsi="宋体"/>
          <w:b/>
          <w:color w:val="000000" w:themeColor="text1"/>
          <w:kern w:val="0"/>
          <w:sz w:val="24"/>
          <w:szCs w:val="24"/>
        </w:rPr>
      </w:pPr>
      <w:r>
        <w:rPr>
          <w:rFonts w:hint="eastAsia" w:ascii="宋体" w:hAnsi="宋体"/>
          <w:b/>
          <w:color w:val="000000" w:themeColor="text1"/>
          <w:kern w:val="0"/>
          <w:sz w:val="24"/>
          <w:szCs w:val="24"/>
        </w:rPr>
        <w:t>表3-10东园镇到各个村的最短运输里程表（单位：公里）</w:t>
      </w:r>
    </w:p>
    <w:p>
      <w:pPr>
        <w:autoSpaceDE w:val="0"/>
        <w:snapToGrid w:val="0"/>
        <w:spacing w:before="0" w:after="0" w:line="240" w:lineRule="auto"/>
        <w:ind w:left="576" w:hanging="576" w:hangingChars="240"/>
        <w:rPr>
          <w:rFonts w:ascii="宋体" w:hAnsi="宋体"/>
          <w:color w:val="000000" w:themeColor="text1"/>
          <w:kern w:val="0"/>
          <w:sz w:val="24"/>
          <w:szCs w:val="24"/>
        </w:rPr>
      </w:pPr>
    </w:p>
    <w:tbl>
      <w:tblPr>
        <w:tblStyle w:val="18"/>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09"/>
        <w:gridCol w:w="585"/>
        <w:gridCol w:w="525"/>
        <w:gridCol w:w="465"/>
        <w:gridCol w:w="555"/>
        <w:gridCol w:w="623"/>
        <w:gridCol w:w="551"/>
        <w:gridCol w:w="595"/>
        <w:gridCol w:w="465"/>
        <w:gridCol w:w="435"/>
        <w:gridCol w:w="510"/>
        <w:gridCol w:w="585"/>
        <w:gridCol w:w="525"/>
        <w:gridCol w:w="540"/>
        <w:gridCol w:w="555"/>
        <w:gridCol w:w="450"/>
        <w:gridCol w:w="525"/>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53"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锦厝村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6.2</w:t>
            </w: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6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2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1"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6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长新村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6.8</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w:t>
            </w:r>
          </w:p>
        </w:tc>
        <w:tc>
          <w:tcPr>
            <w:tcW w:w="46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2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1"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6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溪庄村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10.6</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6.2</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8.2</w:t>
            </w: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2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1"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6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玉坂村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3.3</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4.5</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4.9</w:t>
            </w:r>
          </w:p>
        </w:tc>
        <w:tc>
          <w:tcPr>
            <w:tcW w:w="62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1"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6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龙苍村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4.6</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6.2</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w:t>
            </w:r>
          </w:p>
        </w:tc>
        <w:tc>
          <w:tcPr>
            <w:tcW w:w="551"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6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凤浦村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5.2</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6.5</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4.3</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3.7</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4.9</w:t>
            </w:r>
          </w:p>
        </w:tc>
        <w:tc>
          <w:tcPr>
            <w:tcW w:w="5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6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上林村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3.4</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3.5</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4.8</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4.4</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2.3</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3.7</w:t>
            </w:r>
          </w:p>
        </w:tc>
        <w:tc>
          <w:tcPr>
            <w:tcW w:w="46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东园村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5.3</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6.6</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7.6</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1.4</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1.4</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3.1</w:t>
            </w:r>
          </w:p>
        </w:tc>
        <w:tc>
          <w:tcPr>
            <w:tcW w:w="4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仑山村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1.8</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6.2</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7.4</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10.7</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2.8</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2.9</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7.8</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3.9</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w:t>
            </w: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灵溪村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5.9</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7.6</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8.4</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2.3</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2.3</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5.5</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3.6</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w:t>
            </w:r>
          </w:p>
        </w:tc>
        <w:tc>
          <w:tcPr>
            <w:tcW w:w="5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锦峰村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2.2</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7.1</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7.9</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7.8</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3.3</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3.3</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4.8</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4.9</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1.9</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3.9</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2.8</w:t>
            </w: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群青村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3.6</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7.5</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8.8</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8.1</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4.4</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4.5</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5.2</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5.2</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3.7</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5.7</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5.7</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2.1</w:t>
            </w: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秀涂村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11.2</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14.7</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14.9</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11.6</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11.4</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11.2</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8.7</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12.5</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11.4</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12.7</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12.7</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8.8</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7.3</w:t>
            </w:r>
          </w:p>
        </w:tc>
        <w:tc>
          <w:tcPr>
            <w:tcW w:w="55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琅山村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9.2</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13.5</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13.8</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10.4</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9.3</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9.4</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7.5</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11.2</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8.6</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10.6</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10.6</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6.7</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5.3</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2.2</w:t>
            </w:r>
          </w:p>
        </w:tc>
        <w:tc>
          <w:tcPr>
            <w:tcW w:w="45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阳光村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7.9</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11.6</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12.8</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12.2</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8.3</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8.3</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9.2</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9.4</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7.6</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9.6</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9.6</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5.7</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4.2</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3.9</w:t>
            </w:r>
          </w:p>
        </w:tc>
        <w:tc>
          <w:tcPr>
            <w:tcW w:w="45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2.1</w:t>
            </w:r>
          </w:p>
        </w:tc>
        <w:tc>
          <w:tcPr>
            <w:tcW w:w="52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后港村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8.2</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11.8</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12.3</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8.4</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8.5</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9.4</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9.5</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7.8</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9.7</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9.7</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5.8</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4.3</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4.1</w:t>
            </w:r>
          </w:p>
        </w:tc>
        <w:tc>
          <w:tcPr>
            <w:tcW w:w="45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2.2</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w:t>
            </w:r>
          </w:p>
        </w:tc>
        <w:tc>
          <w:tcPr>
            <w:tcW w:w="48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下垵村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6.7</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10.9</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12.1</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11.3</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7.8</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7.9</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8.5</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8.6</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7.1</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9.1</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9.1</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5.2</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3.4</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5.4</w:t>
            </w:r>
          </w:p>
        </w:tc>
        <w:tc>
          <w:tcPr>
            <w:tcW w:w="45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2.8</w:t>
            </w:r>
          </w:p>
        </w:tc>
        <w:tc>
          <w:tcPr>
            <w:tcW w:w="48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09"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东园镇</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锦厝村</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长新村</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溪庄村</w:t>
            </w:r>
          </w:p>
        </w:tc>
        <w:tc>
          <w:tcPr>
            <w:tcW w:w="62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玉坂村</w:t>
            </w:r>
          </w:p>
        </w:tc>
        <w:tc>
          <w:tcPr>
            <w:tcW w:w="551"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龙苍村</w:t>
            </w:r>
          </w:p>
        </w:tc>
        <w:tc>
          <w:tcPr>
            <w:tcW w:w="5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凤浦村</w:t>
            </w:r>
          </w:p>
        </w:tc>
        <w:tc>
          <w:tcPr>
            <w:tcW w:w="46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上林村</w:t>
            </w:r>
          </w:p>
        </w:tc>
        <w:tc>
          <w:tcPr>
            <w:tcW w:w="4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东园村</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仑山村</w:t>
            </w:r>
          </w:p>
        </w:tc>
        <w:tc>
          <w:tcPr>
            <w:tcW w:w="5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灵溪村</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锦峰村</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群青村</w:t>
            </w:r>
          </w:p>
        </w:tc>
        <w:tc>
          <w:tcPr>
            <w:tcW w:w="55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秀涂村</w:t>
            </w:r>
          </w:p>
        </w:tc>
        <w:tc>
          <w:tcPr>
            <w:tcW w:w="45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琅山村</w:t>
            </w:r>
          </w:p>
        </w:tc>
        <w:tc>
          <w:tcPr>
            <w:tcW w:w="52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阳光村</w:t>
            </w:r>
          </w:p>
        </w:tc>
        <w:tc>
          <w:tcPr>
            <w:tcW w:w="48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后港村</w:t>
            </w:r>
          </w:p>
        </w:tc>
      </w:tr>
    </w:tbl>
    <w:p>
      <w:pPr>
        <w:snapToGrid w:val="0"/>
        <w:spacing w:before="0" w:after="0" w:line="360" w:lineRule="auto"/>
        <w:ind w:left="0" w:firstLine="0"/>
        <w:jc w:val="center"/>
        <w:rPr>
          <w:rFonts w:ascii="宋体" w:hAnsi="宋体"/>
          <w:color w:val="000000" w:themeColor="text1"/>
          <w:kern w:val="0"/>
          <w:sz w:val="20"/>
          <w:szCs w:val="20"/>
        </w:rPr>
      </w:pPr>
    </w:p>
    <w:p>
      <w:pPr>
        <w:snapToGrid w:val="0"/>
        <w:spacing w:before="0" w:after="0" w:line="360" w:lineRule="auto"/>
        <w:ind w:left="0" w:firstLine="0"/>
        <w:jc w:val="center"/>
        <w:rPr>
          <w:rFonts w:hint="eastAsia" w:ascii="宋体" w:hAnsi="宋体"/>
          <w:b/>
          <w:color w:val="000000" w:themeColor="text1"/>
          <w:kern w:val="0"/>
          <w:sz w:val="24"/>
          <w:szCs w:val="24"/>
        </w:rPr>
      </w:pPr>
    </w:p>
    <w:p>
      <w:pPr>
        <w:snapToGrid w:val="0"/>
        <w:spacing w:before="0" w:after="0" w:line="360" w:lineRule="auto"/>
        <w:ind w:left="0" w:firstLine="0"/>
        <w:jc w:val="center"/>
        <w:rPr>
          <w:rFonts w:hint="eastAsia" w:ascii="宋体" w:hAnsi="宋体"/>
          <w:b/>
          <w:color w:val="000000" w:themeColor="text1"/>
          <w:kern w:val="0"/>
          <w:sz w:val="24"/>
          <w:szCs w:val="24"/>
        </w:rPr>
      </w:pPr>
    </w:p>
    <w:p>
      <w:pPr>
        <w:snapToGrid w:val="0"/>
        <w:spacing w:before="0" w:after="0" w:line="360" w:lineRule="auto"/>
        <w:ind w:left="0" w:firstLine="0"/>
        <w:jc w:val="center"/>
        <w:rPr>
          <w:rFonts w:ascii="宋体" w:hAnsi="宋体"/>
          <w:b/>
          <w:color w:val="000000" w:themeColor="text1"/>
          <w:kern w:val="0"/>
          <w:sz w:val="24"/>
          <w:szCs w:val="24"/>
        </w:rPr>
      </w:pPr>
    </w:p>
    <w:p>
      <w:pPr>
        <w:snapToGrid w:val="0"/>
        <w:spacing w:before="0" w:after="0" w:line="360" w:lineRule="auto"/>
        <w:ind w:left="0" w:firstLine="0"/>
        <w:jc w:val="center"/>
        <w:rPr>
          <w:rFonts w:ascii="宋体" w:hAnsi="宋体"/>
          <w:b/>
          <w:color w:val="000000" w:themeColor="text1"/>
          <w:kern w:val="0"/>
          <w:sz w:val="24"/>
          <w:szCs w:val="24"/>
        </w:rPr>
      </w:pPr>
      <w:r>
        <w:rPr>
          <w:rFonts w:hint="eastAsia" w:ascii="宋体" w:hAnsi="宋体"/>
          <w:b/>
          <w:color w:val="000000" w:themeColor="text1"/>
          <w:kern w:val="0"/>
          <w:sz w:val="24"/>
          <w:szCs w:val="24"/>
        </w:rPr>
        <w:t>表3-</w:t>
      </w:r>
      <w:r>
        <w:rPr>
          <w:rFonts w:ascii="宋体" w:hAnsi="宋体"/>
          <w:b/>
          <w:color w:val="000000" w:themeColor="text1"/>
          <w:kern w:val="0"/>
          <w:sz w:val="24"/>
          <w:szCs w:val="24"/>
        </w:rPr>
        <w:t>1</w:t>
      </w:r>
      <w:r>
        <w:rPr>
          <w:rFonts w:hint="eastAsia" w:ascii="宋体" w:hAnsi="宋体"/>
          <w:b/>
          <w:color w:val="000000" w:themeColor="text1"/>
          <w:kern w:val="0"/>
          <w:sz w:val="24"/>
          <w:szCs w:val="24"/>
        </w:rPr>
        <w:t>1东园镇镇各个村的节约里程表（单位：公里）</w:t>
      </w:r>
    </w:p>
    <w:tbl>
      <w:tblPr>
        <w:tblStyle w:val="18"/>
        <w:tblW w:w="9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73"/>
        <w:gridCol w:w="566"/>
        <w:gridCol w:w="627"/>
        <w:gridCol w:w="485"/>
        <w:gridCol w:w="540"/>
        <w:gridCol w:w="495"/>
        <w:gridCol w:w="510"/>
        <w:gridCol w:w="557"/>
        <w:gridCol w:w="535"/>
        <w:gridCol w:w="613"/>
        <w:gridCol w:w="535"/>
        <w:gridCol w:w="536"/>
        <w:gridCol w:w="490"/>
        <w:gridCol w:w="520"/>
        <w:gridCol w:w="505"/>
        <w:gridCol w:w="490"/>
        <w:gridCol w:w="444"/>
        <w:gridCol w:w="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锦厝村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w:t>
            </w:r>
          </w:p>
        </w:tc>
        <w:tc>
          <w:tcPr>
            <w:tcW w:w="627"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7"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1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长新村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10</w:t>
            </w:r>
          </w:p>
        </w:tc>
        <w:tc>
          <w:tcPr>
            <w:tcW w:w="627"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7"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1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溪庄村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10.6</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9.2</w:t>
            </w:r>
          </w:p>
        </w:tc>
        <w:tc>
          <w:tcPr>
            <w:tcW w:w="48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7"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1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玉坂村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4.4</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3.8</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7.2</w:t>
            </w:r>
          </w:p>
        </w:tc>
        <w:tc>
          <w:tcPr>
            <w:tcW w:w="54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7"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1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龙苍村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3.1</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2.3</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5.9</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1.9</w:t>
            </w:r>
          </w:p>
        </w:tc>
        <w:tc>
          <w:tcPr>
            <w:tcW w:w="49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7"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1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凤浦村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7.6</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6.3</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12.3</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3.8</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2.6</w:t>
            </w:r>
          </w:p>
        </w:tc>
        <w:tc>
          <w:tcPr>
            <w:tcW w:w="51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57"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1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上林村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6.1</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5.4</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9.6</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3.8</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2.6</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5.7</w:t>
            </w:r>
          </w:p>
        </w:tc>
        <w:tc>
          <w:tcPr>
            <w:tcW w:w="557"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1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东园村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1.9</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w:t>
            </w: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61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仑山村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1.8</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1.7</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0.5</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0.4</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w:t>
            </w:r>
          </w:p>
        </w:tc>
        <w:tc>
          <w:tcPr>
            <w:tcW w:w="61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灵溪村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1.8</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0.7</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3.7</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0.7</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0.7</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w:t>
            </w:r>
          </w:p>
        </w:tc>
        <w:tc>
          <w:tcPr>
            <w:tcW w:w="61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2.1</w:t>
            </w:r>
          </w:p>
        </w:tc>
        <w:tc>
          <w:tcPr>
            <w:tcW w:w="53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1"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锦峰村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5</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0.4</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0.4</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3.4</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4.3</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w:t>
            </w:r>
          </w:p>
        </w:tc>
        <w:tc>
          <w:tcPr>
            <w:tcW w:w="61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0.1</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0.9</w:t>
            </w:r>
          </w:p>
        </w:tc>
        <w:tc>
          <w:tcPr>
            <w:tcW w:w="536"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群青村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2.3</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1.6</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6.1</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0.7</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0.6</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4.4</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4.5</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0.9</w:t>
            </w:r>
          </w:p>
        </w:tc>
        <w:tc>
          <w:tcPr>
            <w:tcW w:w="61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w:t>
            </w:r>
          </w:p>
        </w:tc>
        <w:tc>
          <w:tcPr>
            <w:tcW w:w="53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3.7</w:t>
            </w: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秀涂村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2.7</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3.1</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10.2</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8.5</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4.8</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0.8</w:t>
            </w:r>
          </w:p>
        </w:tc>
        <w:tc>
          <w:tcPr>
            <w:tcW w:w="61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0.3</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w:t>
            </w:r>
          </w:p>
        </w:tc>
        <w:tc>
          <w:tcPr>
            <w:tcW w:w="53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4.6</w:t>
            </w:r>
          </w:p>
        </w:tc>
        <w:tc>
          <w:tcPr>
            <w:tcW w:w="49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7.5</w:t>
            </w:r>
          </w:p>
        </w:tc>
        <w:tc>
          <w:tcPr>
            <w:tcW w:w="52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琅山村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1.9</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2.2</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9.4</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1.4</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7.7</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4.1</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1.6</w:t>
            </w:r>
          </w:p>
        </w:tc>
        <w:tc>
          <w:tcPr>
            <w:tcW w:w="61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0.4</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0.1</w:t>
            </w:r>
          </w:p>
        </w:tc>
        <w:tc>
          <w:tcPr>
            <w:tcW w:w="53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4.7</w:t>
            </w:r>
          </w:p>
        </w:tc>
        <w:tc>
          <w:tcPr>
            <w:tcW w:w="49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7.5</w:t>
            </w:r>
          </w:p>
        </w:tc>
        <w:tc>
          <w:tcPr>
            <w:tcW w:w="52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18.2</w:t>
            </w:r>
          </w:p>
        </w:tc>
        <w:tc>
          <w:tcPr>
            <w:tcW w:w="505"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阳光村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2.5</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1.9</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6.3</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4.7</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4.6</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w:t>
            </w:r>
          </w:p>
        </w:tc>
        <w:tc>
          <w:tcPr>
            <w:tcW w:w="61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0.1</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w:t>
            </w:r>
          </w:p>
        </w:tc>
        <w:tc>
          <w:tcPr>
            <w:tcW w:w="53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4.4</w:t>
            </w:r>
          </w:p>
        </w:tc>
        <w:tc>
          <w:tcPr>
            <w:tcW w:w="49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7.3</w:t>
            </w:r>
          </w:p>
        </w:tc>
        <w:tc>
          <w:tcPr>
            <w:tcW w:w="52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15.2</w:t>
            </w:r>
          </w:p>
        </w:tc>
        <w:tc>
          <w:tcPr>
            <w:tcW w:w="50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w:t>
            </w:r>
          </w:p>
        </w:tc>
        <w:tc>
          <w:tcPr>
            <w:tcW w:w="490"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后港村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2.6</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6.5</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4.8</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4.8</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1.4</w:t>
            </w:r>
          </w:p>
        </w:tc>
        <w:tc>
          <w:tcPr>
            <w:tcW w:w="61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0.3</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w:t>
            </w:r>
          </w:p>
        </w:tc>
        <w:tc>
          <w:tcPr>
            <w:tcW w:w="53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4.6</w:t>
            </w:r>
          </w:p>
        </w:tc>
        <w:tc>
          <w:tcPr>
            <w:tcW w:w="49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7.5</w:t>
            </w:r>
          </w:p>
        </w:tc>
        <w:tc>
          <w:tcPr>
            <w:tcW w:w="52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15.3</w:t>
            </w:r>
          </w:p>
        </w:tc>
        <w:tc>
          <w:tcPr>
            <w:tcW w:w="50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15.2</w:t>
            </w:r>
          </w:p>
        </w:tc>
        <w:tc>
          <w:tcPr>
            <w:tcW w:w="49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15</w:t>
            </w:r>
          </w:p>
        </w:tc>
        <w:tc>
          <w:tcPr>
            <w:tcW w:w="444"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383" w:type="dxa"/>
            <w:tcBorders>
              <w:top w:val="single" w:color="auto" w:sz="4" w:space="0"/>
              <w:left w:val="nil"/>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下垵村</w:t>
            </w: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2</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1.4</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0.4</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0.3</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4.2</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4.2</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0.6</w:t>
            </w:r>
          </w:p>
        </w:tc>
        <w:tc>
          <w:tcPr>
            <w:tcW w:w="61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0</w:t>
            </w:r>
          </w:p>
        </w:tc>
        <w:tc>
          <w:tcPr>
            <w:tcW w:w="53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4.7</w:t>
            </w:r>
          </w:p>
        </w:tc>
        <w:tc>
          <w:tcPr>
            <w:tcW w:w="49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6.9</w:t>
            </w:r>
          </w:p>
        </w:tc>
        <w:tc>
          <w:tcPr>
            <w:tcW w:w="52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12.5</w:t>
            </w:r>
          </w:p>
        </w:tc>
        <w:tc>
          <w:tcPr>
            <w:tcW w:w="50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11.9</w:t>
            </w:r>
          </w:p>
        </w:tc>
        <w:tc>
          <w:tcPr>
            <w:tcW w:w="49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11.8</w:t>
            </w:r>
          </w:p>
        </w:tc>
        <w:tc>
          <w:tcPr>
            <w:tcW w:w="444"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0"/>
                <w:szCs w:val="20"/>
              </w:rPr>
            </w:pPr>
            <w:r>
              <w:rPr>
                <w:rFonts w:hint="eastAsia" w:ascii="宋体" w:hAnsi="宋体"/>
                <w:color w:val="000000" w:themeColor="text1"/>
                <w:kern w:val="0"/>
                <w:sz w:val="20"/>
                <w:szCs w:val="20"/>
              </w:rPr>
              <w:t>13.1</w:t>
            </w:r>
          </w:p>
        </w:tc>
        <w:tc>
          <w:tcPr>
            <w:tcW w:w="38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left"/>
              <w:textAlignment w:val="center"/>
              <w:rPr>
                <w:rFonts w:ascii="宋体" w:hAnsi="宋体"/>
                <w:color w:val="000000" w:themeColor="text1"/>
                <w:sz w:val="24"/>
                <w:szCs w:val="24"/>
              </w:rPr>
            </w:pPr>
            <w:r>
              <w:rPr>
                <w:rFonts w:hint="eastAsia" w:ascii="宋体" w:hAnsi="宋体"/>
                <w:color w:val="000000" w:themeColor="text1"/>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873"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left="0" w:firstLine="0"/>
              <w:rPr>
                <w:rFonts w:ascii="宋体" w:hAnsi="宋体"/>
                <w:color w:val="000000" w:themeColor="text1"/>
                <w:sz w:val="20"/>
                <w:szCs w:val="20"/>
              </w:rPr>
            </w:pPr>
          </w:p>
        </w:tc>
        <w:tc>
          <w:tcPr>
            <w:tcW w:w="56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锦厝村</w:t>
            </w:r>
          </w:p>
        </w:tc>
        <w:tc>
          <w:tcPr>
            <w:tcW w:w="62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长新村</w:t>
            </w:r>
          </w:p>
        </w:tc>
        <w:tc>
          <w:tcPr>
            <w:tcW w:w="48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溪庄村</w:t>
            </w:r>
          </w:p>
        </w:tc>
        <w:tc>
          <w:tcPr>
            <w:tcW w:w="54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玉坂村</w:t>
            </w:r>
          </w:p>
        </w:tc>
        <w:tc>
          <w:tcPr>
            <w:tcW w:w="49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龙苍村</w:t>
            </w:r>
          </w:p>
        </w:tc>
        <w:tc>
          <w:tcPr>
            <w:tcW w:w="51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凤浦村</w:t>
            </w:r>
          </w:p>
        </w:tc>
        <w:tc>
          <w:tcPr>
            <w:tcW w:w="557"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上林村</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东园村</w:t>
            </w:r>
          </w:p>
        </w:tc>
        <w:tc>
          <w:tcPr>
            <w:tcW w:w="61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仑山村</w:t>
            </w:r>
          </w:p>
        </w:tc>
        <w:tc>
          <w:tcPr>
            <w:tcW w:w="53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灵溪村</w:t>
            </w:r>
          </w:p>
        </w:tc>
        <w:tc>
          <w:tcPr>
            <w:tcW w:w="536"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锦峰村</w:t>
            </w:r>
          </w:p>
        </w:tc>
        <w:tc>
          <w:tcPr>
            <w:tcW w:w="49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群青村</w:t>
            </w:r>
          </w:p>
        </w:tc>
        <w:tc>
          <w:tcPr>
            <w:tcW w:w="52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秀涂村</w:t>
            </w:r>
          </w:p>
        </w:tc>
        <w:tc>
          <w:tcPr>
            <w:tcW w:w="505"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琅山村</w:t>
            </w:r>
          </w:p>
        </w:tc>
        <w:tc>
          <w:tcPr>
            <w:tcW w:w="490"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阳光村</w:t>
            </w:r>
          </w:p>
        </w:tc>
        <w:tc>
          <w:tcPr>
            <w:tcW w:w="444"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0"/>
                <w:szCs w:val="20"/>
              </w:rPr>
            </w:pPr>
            <w:r>
              <w:rPr>
                <w:rFonts w:hint="eastAsia" w:ascii="宋体" w:hAnsi="宋体"/>
                <w:color w:val="000000" w:themeColor="text1"/>
                <w:kern w:val="0"/>
                <w:sz w:val="20"/>
                <w:szCs w:val="20"/>
              </w:rPr>
              <w:t>后港村</w:t>
            </w:r>
          </w:p>
        </w:tc>
        <w:tc>
          <w:tcPr>
            <w:tcW w:w="383" w:type="dxa"/>
            <w:tcBorders>
              <w:top w:val="single" w:color="auto" w:sz="4" w:space="0"/>
              <w:left w:val="nil"/>
              <w:bottom w:val="single" w:color="auto" w:sz="4" w:space="0"/>
              <w:right w:val="single" w:color="auto" w:sz="4" w:space="0"/>
            </w:tcBorders>
            <w:vAlign w:val="center"/>
          </w:tcPr>
          <w:p>
            <w:pPr>
              <w:widowControl/>
              <w:spacing w:before="0" w:after="0" w:line="240" w:lineRule="auto"/>
              <w:ind w:left="0" w:firstLine="0"/>
              <w:jc w:val="center"/>
              <w:textAlignment w:val="center"/>
              <w:rPr>
                <w:rFonts w:ascii="宋体" w:hAnsi="宋体"/>
                <w:color w:val="000000" w:themeColor="text1"/>
                <w:sz w:val="24"/>
                <w:szCs w:val="24"/>
              </w:rPr>
            </w:pPr>
            <w:r>
              <w:rPr>
                <w:rFonts w:hint="eastAsia" w:ascii="宋体" w:hAnsi="宋体"/>
                <w:color w:val="000000" w:themeColor="text1"/>
                <w:kern w:val="0"/>
                <w:sz w:val="20"/>
                <w:szCs w:val="20"/>
              </w:rPr>
              <w:t>下垵村</w:t>
            </w:r>
          </w:p>
        </w:tc>
      </w:tr>
    </w:tbl>
    <w:p>
      <w:pPr>
        <w:snapToGrid w:val="0"/>
        <w:spacing w:before="0" w:after="0" w:line="360" w:lineRule="auto"/>
        <w:ind w:left="0" w:firstLine="0"/>
        <w:rPr>
          <w:rFonts w:ascii="宋体" w:hAnsi="宋体"/>
          <w:b/>
          <w:color w:val="000000" w:themeColor="text1"/>
          <w:kern w:val="0"/>
          <w:sz w:val="24"/>
          <w:szCs w:val="24"/>
        </w:rPr>
      </w:pPr>
    </w:p>
    <w:p>
      <w:pPr>
        <w:snapToGrid w:val="0"/>
        <w:spacing w:before="0" w:after="0" w:line="360" w:lineRule="auto"/>
        <w:ind w:left="0" w:firstLine="0"/>
        <w:jc w:val="center"/>
        <w:rPr>
          <w:rFonts w:ascii="宋体" w:hAnsi="宋体"/>
          <w:b/>
          <w:color w:val="000000" w:themeColor="text1"/>
          <w:kern w:val="0"/>
          <w:sz w:val="24"/>
          <w:szCs w:val="24"/>
        </w:rPr>
      </w:pPr>
      <w:r>
        <w:rPr>
          <w:rFonts w:hint="eastAsia" w:ascii="宋体" w:hAnsi="宋体"/>
          <w:b/>
          <w:color w:val="000000" w:themeColor="text1"/>
          <w:kern w:val="0"/>
          <w:sz w:val="24"/>
          <w:szCs w:val="24"/>
        </w:rPr>
        <w:t>表3-12 节约里程排序表（单位：公里）</w:t>
      </w:r>
    </w:p>
    <w:tbl>
      <w:tblPr>
        <w:tblStyle w:val="4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843"/>
        <w:gridCol w:w="1276"/>
        <w:gridCol w:w="1276"/>
        <w:gridCol w:w="198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b/>
                <w:color w:val="000000" w:themeColor="text1"/>
                <w:kern w:val="0"/>
                <w:sz w:val="24"/>
                <w:szCs w:val="24"/>
              </w:rPr>
            </w:pPr>
            <w:r>
              <w:rPr>
                <w:rFonts w:hint="eastAsia" w:ascii="宋体" w:hAnsi="宋体" w:eastAsia="Times New Roman" w:cstheme="minorBidi"/>
                <w:b/>
                <w:color w:val="000000" w:themeColor="text1"/>
                <w:kern w:val="0"/>
                <w:sz w:val="24"/>
                <w:szCs w:val="24"/>
              </w:rPr>
              <w:t>顺序排位</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b/>
                <w:color w:val="000000" w:themeColor="text1"/>
                <w:kern w:val="0"/>
                <w:sz w:val="24"/>
                <w:szCs w:val="24"/>
              </w:rPr>
            </w:pPr>
            <w:r>
              <w:rPr>
                <w:rFonts w:hint="eastAsia" w:ascii="宋体" w:hAnsi="宋体" w:eastAsia="Times New Roman" w:cstheme="minorBidi"/>
                <w:b/>
                <w:color w:val="000000" w:themeColor="text1"/>
                <w:kern w:val="0"/>
                <w:sz w:val="24"/>
                <w:szCs w:val="24"/>
              </w:rPr>
              <w:t>连接线</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b/>
                <w:color w:val="000000" w:themeColor="text1"/>
                <w:kern w:val="0"/>
                <w:sz w:val="24"/>
                <w:szCs w:val="24"/>
              </w:rPr>
            </w:pPr>
            <w:r>
              <w:rPr>
                <w:rFonts w:hint="eastAsia" w:ascii="宋体" w:hAnsi="宋体" w:eastAsia="Times New Roman" w:cstheme="minorBidi"/>
                <w:b/>
                <w:color w:val="000000" w:themeColor="text1"/>
                <w:kern w:val="0"/>
                <w:sz w:val="24"/>
                <w:szCs w:val="24"/>
              </w:rPr>
              <w:t>节约里程</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b/>
                <w:color w:val="000000" w:themeColor="text1"/>
                <w:kern w:val="0"/>
                <w:sz w:val="24"/>
                <w:szCs w:val="24"/>
              </w:rPr>
            </w:pPr>
            <w:r>
              <w:rPr>
                <w:rFonts w:hint="eastAsia" w:ascii="宋体" w:hAnsi="宋体" w:eastAsia="Times New Roman" w:cstheme="minorBidi"/>
                <w:b/>
                <w:color w:val="000000" w:themeColor="text1"/>
                <w:kern w:val="0"/>
                <w:sz w:val="24"/>
                <w:szCs w:val="24"/>
              </w:rPr>
              <w:t>顺序排位</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b/>
                <w:color w:val="000000" w:themeColor="text1"/>
                <w:kern w:val="0"/>
                <w:sz w:val="24"/>
                <w:szCs w:val="24"/>
              </w:rPr>
            </w:pPr>
            <w:r>
              <w:rPr>
                <w:rFonts w:hint="eastAsia" w:ascii="宋体" w:hAnsi="宋体" w:eastAsia="Times New Roman" w:cstheme="minorBidi"/>
                <w:b/>
                <w:color w:val="000000" w:themeColor="text1"/>
                <w:kern w:val="0"/>
                <w:sz w:val="24"/>
                <w:szCs w:val="24"/>
              </w:rPr>
              <w:t>连接线</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b/>
                <w:color w:val="000000" w:themeColor="text1"/>
                <w:kern w:val="0"/>
                <w:sz w:val="24"/>
                <w:szCs w:val="24"/>
              </w:rPr>
            </w:pPr>
            <w:r>
              <w:rPr>
                <w:rFonts w:hint="eastAsia" w:ascii="宋体" w:hAnsi="宋体" w:eastAsia="Times New Roman" w:cstheme="minorBidi"/>
                <w:b/>
                <w:color w:val="000000" w:themeColor="text1"/>
                <w:kern w:val="0"/>
                <w:sz w:val="24"/>
                <w:szCs w:val="24"/>
              </w:rPr>
              <w:t>节约里程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秀涂村-琅山村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18.2</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11</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阳关村-下垵村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2</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秀涂村-后港村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15.3</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12</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溪庄村-锦厝村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3</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秀涂村-阳光村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15.2</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13</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秀涂村-溪庄村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4</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琅山村-后港村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15.2</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14</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锦厝村-长新村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5</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阳光村-后港村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15</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15</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上林村-溪庄村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6</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琅山村-阳光村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15</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16</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琅山村-溪庄村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7</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后港村-下垵村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13.1</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17</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长新村-溪庄村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8</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秀涂村-下垵村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12.5</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18</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凤浦村-秀涂村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9</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溪庄村-凤浦村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12.3</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19</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凤浦村-琅山村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242"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10</w:t>
            </w:r>
          </w:p>
        </w:tc>
        <w:tc>
          <w:tcPr>
            <w:tcW w:w="1843"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琅山村-下垵村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11.9</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20</w:t>
            </w:r>
          </w:p>
        </w:tc>
        <w:tc>
          <w:tcPr>
            <w:tcW w:w="1984"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凤浦村-锦厝村</w:t>
            </w:r>
          </w:p>
        </w:tc>
        <w:tc>
          <w:tcPr>
            <w:tcW w:w="1276"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stheme="minorBidi"/>
                <w:color w:val="000000" w:themeColor="text1"/>
                <w:kern w:val="0"/>
                <w:sz w:val="24"/>
                <w:szCs w:val="24"/>
              </w:rPr>
            </w:pPr>
            <w:r>
              <w:rPr>
                <w:rFonts w:hint="eastAsia" w:ascii="宋体" w:hAnsi="宋体" w:eastAsia="Times New Roman" w:cstheme="minorBidi"/>
                <w:color w:val="000000" w:themeColor="text1"/>
                <w:kern w:val="0"/>
                <w:sz w:val="24"/>
                <w:szCs w:val="24"/>
              </w:rPr>
              <w:t>7.6</w:t>
            </w:r>
          </w:p>
        </w:tc>
      </w:tr>
    </w:tbl>
    <w:p>
      <w:pPr>
        <w:autoSpaceDE w:val="0"/>
        <w:snapToGrid w:val="0"/>
        <w:spacing w:before="0" w:after="0" w:line="360" w:lineRule="auto"/>
        <w:ind w:left="0" w:firstLine="560" w:firstLineChars="200"/>
        <w:rPr>
          <w:rFonts w:ascii="宋体" w:hAnsi="宋体"/>
          <w:color w:val="000000" w:themeColor="text1"/>
          <w:kern w:val="0"/>
          <w:sz w:val="28"/>
          <w:szCs w:val="28"/>
        </w:rPr>
      </w:pPr>
      <w:r>
        <w:rPr>
          <w:rFonts w:hint="eastAsia" w:ascii="宋体" w:hAnsi="宋体"/>
          <w:color w:val="000000" w:themeColor="text1"/>
          <w:kern w:val="0"/>
          <w:sz w:val="28"/>
          <w:szCs w:val="28"/>
        </w:rPr>
        <w:t>根据节约里程排序表，按照节约里程数最多来制定配送路线。在实际情况的时候根据配送车辆载重量、行驶里程、每个村的的快递量等约束条件来完善配送线路的设计和调整，具体路线见图3-6 和表3-13的线路说明。</w:t>
      </w:r>
    </w:p>
    <w:p>
      <w:pPr>
        <w:autoSpaceDE w:val="0"/>
        <w:snapToGrid w:val="0"/>
        <w:spacing w:before="0" w:after="0" w:line="360" w:lineRule="auto"/>
        <w:ind w:left="0" w:firstLine="420" w:firstLineChars="200"/>
        <w:rPr>
          <w:rFonts w:ascii="宋体" w:hAnsi="宋体"/>
          <w:color w:val="000000" w:themeColor="text1"/>
          <w:kern w:val="0"/>
          <w:sz w:val="28"/>
          <w:szCs w:val="28"/>
        </w:rPr>
      </w:pPr>
      <w:r>
        <w:rPr>
          <w:color w:val="000000" w:themeColor="text1"/>
        </w:rPr>
        <w:drawing>
          <wp:anchor distT="0" distB="0" distL="114300" distR="114300" simplePos="0" relativeHeight="251672576" behindDoc="0" locked="0" layoutInCell="1" allowOverlap="1">
            <wp:simplePos x="0" y="0"/>
            <wp:positionH relativeFrom="column">
              <wp:posOffset>546735</wp:posOffset>
            </wp:positionH>
            <wp:positionV relativeFrom="paragraph">
              <wp:posOffset>71755</wp:posOffset>
            </wp:positionV>
            <wp:extent cx="3542030" cy="4417695"/>
            <wp:effectExtent l="0" t="0" r="9525" b="8255"/>
            <wp:wrapNone/>
            <wp:docPr id="13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descr="IMG_25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2030" cy="4417695"/>
                    </a:xfrm>
                    <a:prstGeom prst="rect">
                      <a:avLst/>
                    </a:prstGeom>
                    <a:noFill/>
                    <a:ln w="9525">
                      <a:noFill/>
                    </a:ln>
                  </pic:spPr>
                </pic:pic>
              </a:graphicData>
            </a:graphic>
          </wp:anchor>
        </w:drawing>
      </w:r>
    </w:p>
    <w:p>
      <w:pPr>
        <w:adjustRightInd w:val="0"/>
        <w:snapToGrid w:val="0"/>
        <w:spacing w:line="360" w:lineRule="auto"/>
        <w:ind w:firstLine="560" w:firstLineChars="200"/>
        <w:rPr>
          <w:rFonts w:ascii="宋体" w:hAnsi="宋体" w:cs="宋体"/>
          <w:bCs/>
          <w:color w:val="000000" w:themeColor="text1"/>
          <w:sz w:val="28"/>
          <w:szCs w:val="28"/>
        </w:rPr>
      </w:pPr>
    </w:p>
    <w:p>
      <w:pPr>
        <w:adjustRightInd w:val="0"/>
        <w:snapToGrid w:val="0"/>
        <w:spacing w:line="360" w:lineRule="auto"/>
        <w:ind w:left="577" w:hanging="576" w:hangingChars="206"/>
        <w:rPr>
          <w:rFonts w:ascii="宋体" w:hAnsi="宋体" w:cs="宋体"/>
          <w:bCs/>
          <w:color w:val="000000" w:themeColor="text1"/>
          <w:sz w:val="28"/>
          <w:szCs w:val="28"/>
        </w:rPr>
      </w:pPr>
    </w:p>
    <w:p>
      <w:pPr>
        <w:adjustRightInd w:val="0"/>
        <w:snapToGrid w:val="0"/>
        <w:spacing w:line="360" w:lineRule="auto"/>
        <w:ind w:firstLine="560" w:firstLineChars="200"/>
        <w:rPr>
          <w:rFonts w:ascii="宋体" w:hAnsi="宋体" w:cs="宋体"/>
          <w:bCs/>
          <w:color w:val="000000" w:themeColor="text1"/>
          <w:sz w:val="28"/>
          <w:szCs w:val="28"/>
        </w:rPr>
      </w:pPr>
    </w:p>
    <w:p>
      <w:pPr>
        <w:adjustRightInd w:val="0"/>
        <w:snapToGrid w:val="0"/>
        <w:spacing w:line="360" w:lineRule="auto"/>
        <w:ind w:firstLine="560" w:firstLineChars="200"/>
        <w:rPr>
          <w:rFonts w:ascii="宋体" w:hAnsi="宋体" w:cs="宋体"/>
          <w:bCs/>
          <w:color w:val="000000" w:themeColor="text1"/>
          <w:sz w:val="28"/>
          <w:szCs w:val="28"/>
        </w:rPr>
      </w:pPr>
    </w:p>
    <w:p>
      <w:pPr>
        <w:adjustRightInd w:val="0"/>
        <w:snapToGrid w:val="0"/>
        <w:spacing w:line="360" w:lineRule="auto"/>
        <w:ind w:firstLine="560" w:firstLineChars="200"/>
        <w:rPr>
          <w:rFonts w:ascii="宋体" w:hAnsi="宋体" w:cs="宋体"/>
          <w:bCs/>
          <w:color w:val="000000" w:themeColor="text1"/>
          <w:sz w:val="28"/>
          <w:szCs w:val="28"/>
        </w:rPr>
      </w:pPr>
    </w:p>
    <w:p>
      <w:pPr>
        <w:adjustRightInd w:val="0"/>
        <w:snapToGrid w:val="0"/>
        <w:spacing w:line="360" w:lineRule="auto"/>
        <w:ind w:firstLine="560" w:firstLineChars="200"/>
        <w:rPr>
          <w:rFonts w:ascii="宋体" w:hAnsi="宋体" w:cs="宋体"/>
          <w:bCs/>
          <w:color w:val="000000" w:themeColor="text1"/>
          <w:sz w:val="28"/>
          <w:szCs w:val="28"/>
        </w:rPr>
      </w:pPr>
    </w:p>
    <w:p>
      <w:pPr>
        <w:adjustRightInd w:val="0"/>
        <w:snapToGrid w:val="0"/>
        <w:spacing w:line="360" w:lineRule="auto"/>
        <w:ind w:firstLine="560" w:firstLineChars="200"/>
        <w:rPr>
          <w:rFonts w:ascii="宋体" w:hAnsi="宋体" w:cs="宋体"/>
          <w:bCs/>
          <w:color w:val="000000" w:themeColor="text1"/>
          <w:sz w:val="28"/>
          <w:szCs w:val="28"/>
        </w:rPr>
      </w:pPr>
    </w:p>
    <w:p>
      <w:pPr>
        <w:adjustRightInd w:val="0"/>
        <w:snapToGrid w:val="0"/>
        <w:spacing w:line="360" w:lineRule="auto"/>
        <w:ind w:left="0" w:firstLine="0"/>
        <w:rPr>
          <w:rFonts w:ascii="宋体" w:hAnsi="宋体" w:cs="宋体"/>
          <w:b/>
          <w:bCs/>
          <w:color w:val="000000" w:themeColor="text1"/>
          <w:sz w:val="24"/>
          <w:szCs w:val="24"/>
        </w:rPr>
      </w:pPr>
    </w:p>
    <w:p>
      <w:pPr>
        <w:snapToGrid w:val="0"/>
        <w:spacing w:before="0" w:after="0" w:line="360" w:lineRule="auto"/>
        <w:ind w:left="0" w:firstLine="0"/>
        <w:jc w:val="center"/>
        <w:rPr>
          <w:rFonts w:ascii="宋体" w:hAnsi="宋体"/>
          <w:b/>
          <w:color w:val="000000" w:themeColor="text1"/>
          <w:kern w:val="0"/>
          <w:sz w:val="24"/>
          <w:szCs w:val="24"/>
        </w:rPr>
      </w:pPr>
      <w:r>
        <w:rPr>
          <w:rFonts w:hint="eastAsia" w:ascii="宋体" w:hAnsi="宋体"/>
          <w:b/>
          <w:color w:val="000000" w:themeColor="text1"/>
          <w:kern w:val="0"/>
          <w:sz w:val="24"/>
          <w:szCs w:val="24"/>
        </w:rPr>
        <w:t>图3-6 东园镇的配送线路</w:t>
      </w:r>
    </w:p>
    <w:p>
      <w:pPr>
        <w:snapToGrid w:val="0"/>
        <w:spacing w:before="0" w:after="0" w:line="360" w:lineRule="auto"/>
        <w:ind w:left="0" w:firstLine="482" w:firstLineChars="200"/>
        <w:jc w:val="center"/>
        <w:rPr>
          <w:rFonts w:ascii="宋体" w:hAnsi="宋体"/>
          <w:b/>
          <w:color w:val="000000" w:themeColor="text1"/>
          <w:kern w:val="0"/>
          <w:sz w:val="24"/>
          <w:szCs w:val="24"/>
        </w:rPr>
      </w:pPr>
      <w:r>
        <w:rPr>
          <w:rFonts w:hint="eastAsia" w:ascii="宋体" w:hAnsi="宋体"/>
          <w:b/>
          <w:color w:val="000000" w:themeColor="text1"/>
          <w:kern w:val="0"/>
          <w:sz w:val="24"/>
          <w:szCs w:val="24"/>
        </w:rPr>
        <w:t>表3-13 东园镇的配送线路</w:t>
      </w:r>
    </w:p>
    <w:tbl>
      <w:tblPr>
        <w:tblStyle w:val="39"/>
        <w:tblW w:w="852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b/>
                <w:color w:val="000000" w:themeColor="text1"/>
                <w:kern w:val="0"/>
                <w:sz w:val="24"/>
                <w:szCs w:val="24"/>
              </w:rPr>
            </w:pPr>
            <w:r>
              <w:rPr>
                <w:rFonts w:hint="eastAsia" w:ascii="宋体" w:hAnsi="宋体" w:eastAsia="Times New Roman"/>
                <w:b/>
                <w:color w:val="000000" w:themeColor="text1"/>
                <w:kern w:val="0"/>
                <w:sz w:val="24"/>
                <w:szCs w:val="24"/>
              </w:rPr>
              <w:t>线路1</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东园镇镇农村物流服务站-下垵村-后港村-琅山村-秀涂村-阳光村-东园镇农村物流服务站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b/>
                <w:color w:val="000000" w:themeColor="text1"/>
                <w:kern w:val="0"/>
                <w:sz w:val="24"/>
                <w:szCs w:val="24"/>
              </w:rPr>
            </w:pPr>
            <w:r>
              <w:rPr>
                <w:rFonts w:hint="eastAsia" w:ascii="宋体" w:hAnsi="宋体" w:eastAsia="Times New Roman"/>
                <w:b/>
                <w:color w:val="000000" w:themeColor="text1"/>
                <w:kern w:val="0"/>
                <w:sz w:val="24"/>
                <w:szCs w:val="24"/>
              </w:rPr>
              <w:t>线路2</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东园镇农村物流服务站-玉坂村-长新村-锦厝村-溪庄村-上林村-凤埔村-龙苍村-东园镇农村物流服务站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b/>
                <w:color w:val="000000" w:themeColor="text1"/>
                <w:kern w:val="0"/>
                <w:sz w:val="24"/>
                <w:szCs w:val="24"/>
              </w:rPr>
            </w:pPr>
            <w:r>
              <w:rPr>
                <w:rFonts w:hint="eastAsia" w:ascii="宋体" w:hAnsi="宋体" w:eastAsia="Times New Roman"/>
                <w:b/>
                <w:color w:val="000000" w:themeColor="text1"/>
                <w:kern w:val="0"/>
                <w:sz w:val="24"/>
                <w:szCs w:val="24"/>
              </w:rPr>
              <w:t>线路3</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东园镇农村物流服务站-群青村-锦峰村-东园村-灵溪村-仑山村-东园镇农村物流服务站</w:t>
            </w:r>
          </w:p>
        </w:tc>
      </w:tr>
    </w:tbl>
    <w:p>
      <w:pPr>
        <w:adjustRightInd w:val="0"/>
        <w:snapToGrid w:val="0"/>
        <w:spacing w:before="0" w:after="0" w:line="360" w:lineRule="auto"/>
        <w:ind w:left="0" w:firstLine="360" w:firstLineChars="150"/>
        <w:rPr>
          <w:rFonts w:ascii="宋体" w:hAnsi="宋体"/>
          <w:color w:val="000000" w:themeColor="text1"/>
          <w:kern w:val="0"/>
          <w:sz w:val="24"/>
          <w:szCs w:val="24"/>
        </w:rPr>
      </w:pPr>
    </w:p>
    <w:p>
      <w:pPr>
        <w:adjustRightInd w:val="0"/>
        <w:snapToGrid w:val="0"/>
        <w:spacing w:before="0" w:after="0" w:line="360" w:lineRule="auto"/>
        <w:ind w:left="0" w:firstLine="360" w:firstLineChars="150"/>
        <w:rPr>
          <w:rFonts w:ascii="宋体" w:hAnsi="宋体"/>
          <w:color w:val="000000" w:themeColor="text1"/>
          <w:kern w:val="0"/>
          <w:sz w:val="24"/>
          <w:szCs w:val="24"/>
        </w:rPr>
      </w:pPr>
    </w:p>
    <w:p>
      <w:pPr>
        <w:adjustRightInd w:val="0"/>
        <w:snapToGrid w:val="0"/>
        <w:spacing w:before="0" w:after="0" w:line="360" w:lineRule="auto"/>
        <w:ind w:left="0" w:firstLine="315" w:firstLineChars="150"/>
        <w:rPr>
          <w:rFonts w:ascii="宋体" w:hAnsi="宋体"/>
          <w:color w:val="000000" w:themeColor="text1"/>
          <w:kern w:val="0"/>
          <w:sz w:val="24"/>
          <w:szCs w:val="24"/>
        </w:rPr>
      </w:pPr>
      <w:r>
        <w:rPr>
          <w:color w:val="000000" w:themeColor="text1"/>
        </w:rPr>
        <w:drawing>
          <wp:anchor distT="0" distB="0" distL="114300" distR="114300" simplePos="0" relativeHeight="251673600" behindDoc="0" locked="0" layoutInCell="1" allowOverlap="1">
            <wp:simplePos x="0" y="0"/>
            <wp:positionH relativeFrom="column">
              <wp:posOffset>207645</wp:posOffset>
            </wp:positionH>
            <wp:positionV relativeFrom="paragraph">
              <wp:posOffset>393700</wp:posOffset>
            </wp:positionV>
            <wp:extent cx="4752975" cy="4467225"/>
            <wp:effectExtent l="0" t="0" r="9525" b="9525"/>
            <wp:wrapNone/>
            <wp:docPr id="1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descr="IMG_25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9291" cy="4463762"/>
                    </a:xfrm>
                    <a:prstGeom prst="rect">
                      <a:avLst/>
                    </a:prstGeom>
                    <a:noFill/>
                    <a:ln w="9525">
                      <a:noFill/>
                    </a:ln>
                  </pic:spPr>
                </pic:pic>
              </a:graphicData>
            </a:graphic>
          </wp:anchor>
        </w:drawing>
      </w:r>
      <w:r>
        <w:rPr>
          <w:rFonts w:hint="eastAsia" w:ascii="宋体" w:hAnsi="宋体"/>
          <w:color w:val="000000" w:themeColor="text1"/>
          <w:kern w:val="0"/>
          <w:sz w:val="24"/>
          <w:szCs w:val="24"/>
        </w:rPr>
        <w:t>其它镇的配送线路设计同理可得。具体见下面图3-7～3-9和表格3-14～3-16线路说明。</w:t>
      </w:r>
    </w:p>
    <w:p>
      <w:pPr>
        <w:adjustRightInd w:val="0"/>
        <w:snapToGrid w:val="0"/>
        <w:spacing w:before="0" w:after="0" w:line="360" w:lineRule="auto"/>
        <w:ind w:left="0" w:firstLine="360" w:firstLineChars="150"/>
        <w:rPr>
          <w:rFonts w:ascii="宋体" w:hAnsi="宋体"/>
          <w:color w:val="000000" w:themeColor="text1"/>
          <w:kern w:val="0"/>
          <w:sz w:val="24"/>
          <w:szCs w:val="24"/>
        </w:rPr>
      </w:pPr>
    </w:p>
    <w:p>
      <w:pPr>
        <w:adjustRightInd w:val="0"/>
        <w:snapToGrid w:val="0"/>
        <w:spacing w:line="360" w:lineRule="auto"/>
        <w:rPr>
          <w:rFonts w:ascii="宋体" w:hAnsi="宋体" w:cs="宋体"/>
          <w:bCs/>
          <w:color w:val="000000" w:themeColor="text1"/>
          <w:sz w:val="24"/>
          <w:szCs w:val="24"/>
        </w:rPr>
      </w:pPr>
    </w:p>
    <w:p>
      <w:pPr>
        <w:adjustRightInd w:val="0"/>
        <w:snapToGrid w:val="0"/>
        <w:spacing w:line="360" w:lineRule="auto"/>
        <w:rPr>
          <w:rFonts w:ascii="宋体" w:hAnsi="宋体" w:cs="宋体"/>
          <w:bCs/>
          <w:color w:val="000000" w:themeColor="text1"/>
          <w:sz w:val="24"/>
          <w:szCs w:val="24"/>
        </w:rPr>
      </w:pPr>
    </w:p>
    <w:p>
      <w:pPr>
        <w:adjustRightInd w:val="0"/>
        <w:snapToGrid w:val="0"/>
        <w:spacing w:line="360" w:lineRule="auto"/>
        <w:rPr>
          <w:rFonts w:ascii="宋体" w:hAnsi="宋体" w:cs="宋体"/>
          <w:bCs/>
          <w:color w:val="000000" w:themeColor="text1"/>
          <w:sz w:val="24"/>
          <w:szCs w:val="24"/>
        </w:rPr>
      </w:pPr>
    </w:p>
    <w:p>
      <w:pPr>
        <w:adjustRightInd w:val="0"/>
        <w:snapToGrid w:val="0"/>
        <w:spacing w:line="360" w:lineRule="auto"/>
        <w:rPr>
          <w:rFonts w:ascii="宋体" w:hAnsi="宋体" w:cs="宋体"/>
          <w:bCs/>
          <w:color w:val="000000" w:themeColor="text1"/>
          <w:sz w:val="24"/>
          <w:szCs w:val="24"/>
        </w:rPr>
      </w:pPr>
    </w:p>
    <w:p>
      <w:pPr>
        <w:adjustRightInd w:val="0"/>
        <w:snapToGrid w:val="0"/>
        <w:spacing w:line="360" w:lineRule="auto"/>
        <w:rPr>
          <w:rFonts w:ascii="黑体" w:hAnsi="黑体" w:eastAsia="黑体" w:cs="黑体"/>
          <w:bCs/>
          <w:color w:val="000000" w:themeColor="text1"/>
          <w:sz w:val="32"/>
          <w:szCs w:val="32"/>
        </w:rPr>
      </w:pPr>
    </w:p>
    <w:p>
      <w:pPr>
        <w:adjustRightInd w:val="0"/>
        <w:snapToGrid w:val="0"/>
        <w:spacing w:line="360" w:lineRule="auto"/>
        <w:rPr>
          <w:rFonts w:ascii="黑体" w:hAnsi="黑体" w:eastAsia="黑体" w:cs="黑体"/>
          <w:bCs/>
          <w:color w:val="000000" w:themeColor="text1"/>
          <w:sz w:val="32"/>
          <w:szCs w:val="32"/>
        </w:rPr>
      </w:pPr>
    </w:p>
    <w:p>
      <w:pPr>
        <w:adjustRightInd w:val="0"/>
        <w:snapToGrid w:val="0"/>
        <w:spacing w:line="360" w:lineRule="auto"/>
        <w:rPr>
          <w:rFonts w:ascii="黑体" w:hAnsi="黑体" w:eastAsia="黑体" w:cs="黑体"/>
          <w:bCs/>
          <w:color w:val="000000" w:themeColor="text1"/>
          <w:sz w:val="32"/>
          <w:szCs w:val="32"/>
        </w:rPr>
      </w:pPr>
    </w:p>
    <w:p>
      <w:pPr>
        <w:adjustRightInd w:val="0"/>
        <w:snapToGrid w:val="0"/>
        <w:spacing w:line="360" w:lineRule="auto"/>
        <w:rPr>
          <w:rFonts w:ascii="黑体" w:hAnsi="黑体" w:eastAsia="黑体" w:cs="黑体"/>
          <w:b/>
          <w:bCs/>
          <w:color w:val="000000" w:themeColor="text1"/>
          <w:sz w:val="32"/>
          <w:szCs w:val="32"/>
        </w:rPr>
      </w:pPr>
    </w:p>
    <w:p>
      <w:pPr>
        <w:snapToGrid w:val="0"/>
        <w:spacing w:before="0" w:after="0" w:line="360" w:lineRule="auto"/>
        <w:ind w:left="0" w:firstLine="482" w:firstLineChars="200"/>
        <w:jc w:val="center"/>
        <w:rPr>
          <w:rFonts w:ascii="宋体" w:hAnsi="宋体"/>
          <w:b/>
          <w:color w:val="000000" w:themeColor="text1"/>
          <w:kern w:val="0"/>
          <w:sz w:val="24"/>
          <w:szCs w:val="24"/>
        </w:rPr>
      </w:pPr>
      <w:r>
        <w:rPr>
          <w:rFonts w:hint="eastAsia" w:ascii="宋体" w:hAnsi="宋体"/>
          <w:b/>
          <w:color w:val="000000" w:themeColor="text1"/>
          <w:kern w:val="0"/>
          <w:sz w:val="24"/>
          <w:szCs w:val="24"/>
        </w:rPr>
        <w:t>图3-7 洛阳镇的配送线路</w:t>
      </w: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r>
        <w:rPr>
          <w:rFonts w:hint="eastAsia" w:ascii="宋体" w:hAnsi="宋体"/>
          <w:b/>
          <w:color w:val="000000" w:themeColor="text1"/>
          <w:kern w:val="0"/>
          <w:sz w:val="24"/>
          <w:szCs w:val="24"/>
        </w:rPr>
        <w:t>表3-14 洛阳镇的配送线路</w:t>
      </w:r>
    </w:p>
    <w:tbl>
      <w:tblPr>
        <w:tblStyle w:val="40"/>
        <w:tblW w:w="852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b/>
                <w:color w:val="000000" w:themeColor="text1"/>
                <w:kern w:val="0"/>
                <w:sz w:val="24"/>
                <w:szCs w:val="24"/>
              </w:rPr>
            </w:pPr>
            <w:r>
              <w:rPr>
                <w:rFonts w:hint="eastAsia" w:ascii="宋体" w:hAnsi="宋体" w:eastAsia="Times New Roman"/>
                <w:b/>
                <w:color w:val="000000" w:themeColor="text1"/>
                <w:kern w:val="0"/>
                <w:sz w:val="24"/>
                <w:szCs w:val="24"/>
              </w:rPr>
              <w:t>线路1</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洛阳镇农村物流服务站-洛阳村-洛安村-万安村-云庄村-下星村-陈坝村-陈埭头村-洛阳镇农村物流服务站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b/>
                <w:color w:val="000000" w:themeColor="text1"/>
                <w:kern w:val="0"/>
                <w:sz w:val="24"/>
                <w:szCs w:val="24"/>
              </w:rPr>
            </w:pPr>
            <w:r>
              <w:rPr>
                <w:rFonts w:hint="eastAsia" w:ascii="宋体" w:hAnsi="宋体" w:eastAsia="Times New Roman"/>
                <w:b/>
                <w:color w:val="000000" w:themeColor="text1"/>
                <w:kern w:val="0"/>
                <w:sz w:val="24"/>
                <w:szCs w:val="24"/>
              </w:rPr>
              <w:t>线路2</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洛阳镇农村物流服务站-群山村-西塘村-上田村-上曾村-梅岭村-杏田村-堂头村-下曾村-洛阳镇农村物流服务站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b/>
                <w:color w:val="000000" w:themeColor="text1"/>
                <w:kern w:val="0"/>
                <w:sz w:val="24"/>
                <w:szCs w:val="24"/>
              </w:rPr>
            </w:pPr>
            <w:r>
              <w:rPr>
                <w:rFonts w:hint="eastAsia" w:ascii="宋体" w:hAnsi="宋体" w:eastAsia="Times New Roman"/>
                <w:b/>
                <w:color w:val="000000" w:themeColor="text1"/>
                <w:kern w:val="0"/>
                <w:sz w:val="24"/>
                <w:szCs w:val="24"/>
              </w:rPr>
              <w:t>线路3</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洛阳镇农村物流服务站-屿头村-前园村-后埔村-曾垵村-西岭头村-西方村-白沙一村-白沙二村-后亭村-象埔村-洛阳镇农村物流服务站</w:t>
            </w:r>
          </w:p>
        </w:tc>
      </w:tr>
    </w:tbl>
    <w:p>
      <w:pPr>
        <w:snapToGrid w:val="0"/>
        <w:spacing w:before="0" w:after="0" w:line="360" w:lineRule="auto"/>
        <w:ind w:left="0" w:firstLine="480" w:firstLineChars="200"/>
        <w:jc w:val="center"/>
        <w:rPr>
          <w:rFonts w:ascii="宋体" w:hAnsi="宋体"/>
          <w:color w:val="000000" w:themeColor="text1"/>
          <w:kern w:val="0"/>
          <w:sz w:val="24"/>
          <w:szCs w:val="24"/>
        </w:rPr>
      </w:pPr>
      <w:r>
        <w:rPr>
          <w:rFonts w:hint="eastAsia" w:ascii="宋体" w:hAnsi="宋体"/>
          <w:color w:val="000000" w:themeColor="text1"/>
          <w:kern w:val="0"/>
          <w:sz w:val="24"/>
          <w:szCs w:val="24"/>
        </w:rPr>
        <w:t xml:space="preserve"> </w:t>
      </w:r>
    </w:p>
    <w:p>
      <w:pPr>
        <w:adjustRightInd w:val="0"/>
        <w:snapToGrid w:val="0"/>
        <w:spacing w:line="360" w:lineRule="auto"/>
        <w:rPr>
          <w:rFonts w:ascii="黑体" w:hAnsi="黑体" w:eastAsia="黑体" w:cs="黑体"/>
          <w:bCs/>
          <w:color w:val="000000" w:themeColor="text1"/>
          <w:sz w:val="32"/>
          <w:szCs w:val="32"/>
        </w:rPr>
      </w:pPr>
      <w:r>
        <w:rPr>
          <w:color w:val="000000" w:themeColor="text1"/>
        </w:rPr>
        <w:drawing>
          <wp:anchor distT="0" distB="0" distL="114300" distR="114300" simplePos="0" relativeHeight="251674624" behindDoc="0" locked="0" layoutInCell="1" allowOverlap="1">
            <wp:simplePos x="0" y="0"/>
            <wp:positionH relativeFrom="column">
              <wp:posOffset>129540</wp:posOffset>
            </wp:positionH>
            <wp:positionV relativeFrom="paragraph">
              <wp:posOffset>-20955</wp:posOffset>
            </wp:positionV>
            <wp:extent cx="4869180" cy="5010150"/>
            <wp:effectExtent l="0" t="0" r="7620" b="0"/>
            <wp:wrapNone/>
            <wp:docPr id="13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 descr="IMG_25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9180" cy="5010150"/>
                    </a:xfrm>
                    <a:prstGeom prst="rect">
                      <a:avLst/>
                    </a:prstGeom>
                    <a:noFill/>
                    <a:ln w="9525">
                      <a:noFill/>
                    </a:ln>
                  </pic:spPr>
                </pic:pic>
              </a:graphicData>
            </a:graphic>
          </wp:anchor>
        </w:drawing>
      </w:r>
    </w:p>
    <w:p>
      <w:pPr>
        <w:adjustRightInd w:val="0"/>
        <w:snapToGrid w:val="0"/>
        <w:spacing w:line="360" w:lineRule="auto"/>
        <w:rPr>
          <w:rFonts w:ascii="黑体" w:hAnsi="黑体" w:eastAsia="黑体" w:cs="黑体"/>
          <w:bCs/>
          <w:color w:val="000000" w:themeColor="text1"/>
          <w:sz w:val="32"/>
          <w:szCs w:val="32"/>
        </w:rPr>
      </w:pPr>
    </w:p>
    <w:p>
      <w:pPr>
        <w:adjustRightInd w:val="0"/>
        <w:snapToGrid w:val="0"/>
        <w:spacing w:line="360" w:lineRule="auto"/>
        <w:rPr>
          <w:rFonts w:ascii="黑体" w:hAnsi="黑体" w:eastAsia="黑体" w:cs="黑体"/>
          <w:bCs/>
          <w:color w:val="000000" w:themeColor="text1"/>
          <w:sz w:val="32"/>
          <w:szCs w:val="32"/>
        </w:rPr>
      </w:pPr>
    </w:p>
    <w:p>
      <w:pPr>
        <w:snapToGrid w:val="0"/>
        <w:spacing w:before="0" w:after="0" w:line="360" w:lineRule="auto"/>
        <w:ind w:left="576" w:hanging="576" w:hangingChars="240"/>
        <w:rPr>
          <w:rFonts w:ascii="宋体" w:hAnsi="宋体"/>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0"/>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r>
        <w:rPr>
          <w:rFonts w:hint="eastAsia" w:ascii="宋体" w:hAnsi="宋体"/>
          <w:b/>
          <w:color w:val="000000" w:themeColor="text1"/>
          <w:kern w:val="0"/>
          <w:sz w:val="24"/>
          <w:szCs w:val="24"/>
        </w:rPr>
        <w:t>图3-8 张坂镇的配送线路</w:t>
      </w:r>
    </w:p>
    <w:p>
      <w:pPr>
        <w:snapToGrid w:val="0"/>
        <w:spacing w:before="0" w:after="0" w:line="360" w:lineRule="auto"/>
        <w:ind w:left="0" w:firstLine="482" w:firstLineChars="200"/>
        <w:jc w:val="center"/>
        <w:rPr>
          <w:rFonts w:ascii="宋体" w:hAnsi="宋体"/>
          <w:b/>
          <w:color w:val="000000" w:themeColor="text1"/>
          <w:kern w:val="0"/>
          <w:sz w:val="24"/>
          <w:szCs w:val="24"/>
        </w:rPr>
      </w:pPr>
      <w:r>
        <w:rPr>
          <w:rFonts w:hint="eastAsia" w:ascii="宋体" w:hAnsi="宋体"/>
          <w:b/>
          <w:color w:val="000000" w:themeColor="text1"/>
          <w:kern w:val="0"/>
          <w:sz w:val="24"/>
          <w:szCs w:val="24"/>
        </w:rPr>
        <w:t>表3-15 张坂镇的配送线路</w:t>
      </w:r>
    </w:p>
    <w:tbl>
      <w:tblPr>
        <w:tblStyle w:val="41"/>
        <w:tblW w:w="852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线路1</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张坂镇农村物流服务站-后边村-苍霞村-松山村-塘园村-霞美村-玉园村-玉塘村-玉田村-张坂镇农村物流服务站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线路2</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张坂镇农村物流服务站-后曾村-山内村-莲新村-苏坑村-上仑村-后蔡村-门头村-张坂镇农村物流服务站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线路3</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张坂镇农村物流服务站-张坂村-群力村-仑前村-崇山村-黄岭村-玉埕村--群贤村-下宫村-张坂镇农村物流服务站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线路4</w:t>
            </w:r>
          </w:p>
        </w:tc>
        <w:tc>
          <w:tcPr>
            <w:tcW w:w="7315" w:type="dxa"/>
            <w:tcBorders>
              <w:top w:val="single" w:color="auto" w:sz="4" w:space="0"/>
              <w:left w:val="nil"/>
              <w:bottom w:val="single" w:color="auto" w:sz="4" w:space="0"/>
              <w:right w:val="single" w:color="auto" w:sz="4" w:space="0"/>
            </w:tcBorders>
            <w:vAlign w:val="center"/>
          </w:tcPr>
          <w:p>
            <w:pPr>
              <w:snapToGrid w:val="0"/>
              <w:spacing w:before="0" w:after="0" w:line="360" w:lineRule="auto"/>
              <w:ind w:left="0" w:firstLine="0"/>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张坂镇农村物流服务站-上塘村-后见村-前见村-前头村-浮山村-玉前村-玉霞村-玉山村-张坂镇农村物流服务站</w:t>
            </w:r>
          </w:p>
        </w:tc>
      </w:tr>
    </w:tbl>
    <w:p>
      <w:pPr>
        <w:adjustRightInd w:val="0"/>
        <w:snapToGrid w:val="0"/>
        <w:spacing w:line="360" w:lineRule="auto"/>
        <w:rPr>
          <w:rFonts w:ascii="黑体" w:hAnsi="黑体" w:eastAsia="黑体" w:cs="黑体"/>
          <w:bCs/>
          <w:color w:val="000000" w:themeColor="text1"/>
          <w:sz w:val="32"/>
          <w:szCs w:val="32"/>
        </w:rPr>
      </w:pPr>
      <w:r>
        <w:rPr>
          <w:color w:val="000000" w:themeColor="text1"/>
        </w:rPr>
        <w:drawing>
          <wp:inline distT="0" distB="0" distL="0" distR="0">
            <wp:extent cx="5339080" cy="4121150"/>
            <wp:effectExtent l="0" t="0" r="0" b="0"/>
            <wp:docPr id="13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 descr="IMG_256"/>
                    <pic:cNvPicPr>
                      <a:picLocks noChangeAspect="1"/>
                    </pic:cNvPicPr>
                  </pic:nvPicPr>
                  <pic:blipFill>
                    <a:blip r:embed="rId28" cstate="print"/>
                    <a:stretch>
                      <a:fillRect/>
                    </a:stretch>
                  </pic:blipFill>
                  <pic:spPr>
                    <a:xfrm>
                      <a:off x="0" y="0"/>
                      <a:ext cx="5339080" cy="4121720"/>
                    </a:xfrm>
                    <a:prstGeom prst="rect">
                      <a:avLst/>
                    </a:prstGeom>
                    <a:noFill/>
                    <a:ln w="9525">
                      <a:noFill/>
                    </a:ln>
                  </pic:spPr>
                </pic:pic>
              </a:graphicData>
            </a:graphic>
          </wp:inline>
        </w:drawing>
      </w:r>
    </w:p>
    <w:p>
      <w:pPr>
        <w:snapToGrid w:val="0"/>
        <w:spacing w:before="0" w:after="0" w:line="360" w:lineRule="auto"/>
        <w:ind w:left="0" w:firstLine="482" w:firstLineChars="200"/>
        <w:jc w:val="center"/>
        <w:rPr>
          <w:rFonts w:ascii="宋体" w:hAnsi="宋体"/>
          <w:b/>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r>
        <w:rPr>
          <w:rFonts w:hint="eastAsia" w:ascii="宋体" w:hAnsi="宋体"/>
          <w:b/>
          <w:color w:val="000000" w:themeColor="text1"/>
          <w:kern w:val="0"/>
          <w:sz w:val="24"/>
          <w:szCs w:val="24"/>
        </w:rPr>
        <w:t>图3-9 百崎回族乡的配送线路</w:t>
      </w:r>
    </w:p>
    <w:p>
      <w:pPr>
        <w:snapToGrid w:val="0"/>
        <w:spacing w:before="0" w:after="0" w:line="360" w:lineRule="auto"/>
        <w:ind w:left="0" w:firstLine="480" w:firstLineChars="200"/>
        <w:jc w:val="center"/>
        <w:rPr>
          <w:rFonts w:ascii="宋体" w:hAnsi="宋体"/>
          <w:color w:val="000000" w:themeColor="text1"/>
          <w:kern w:val="0"/>
          <w:sz w:val="24"/>
          <w:szCs w:val="24"/>
        </w:rPr>
      </w:pPr>
    </w:p>
    <w:p>
      <w:pPr>
        <w:snapToGrid w:val="0"/>
        <w:spacing w:before="0" w:after="0" w:line="360" w:lineRule="auto"/>
        <w:ind w:left="0" w:firstLine="482" w:firstLineChars="200"/>
        <w:jc w:val="center"/>
        <w:rPr>
          <w:rFonts w:ascii="宋体" w:hAnsi="宋体"/>
          <w:b/>
          <w:color w:val="000000" w:themeColor="text1"/>
          <w:kern w:val="0"/>
          <w:sz w:val="24"/>
          <w:szCs w:val="24"/>
        </w:rPr>
      </w:pPr>
      <w:r>
        <w:rPr>
          <w:rFonts w:hint="eastAsia" w:ascii="宋体" w:hAnsi="宋体"/>
          <w:b/>
          <w:color w:val="000000" w:themeColor="text1"/>
          <w:kern w:val="0"/>
          <w:sz w:val="24"/>
          <w:szCs w:val="24"/>
        </w:rPr>
        <w:t>表3-16 百崎回族乡乡的配送线路</w:t>
      </w:r>
    </w:p>
    <w:tbl>
      <w:tblPr>
        <w:tblStyle w:val="42"/>
        <w:tblW w:w="852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tcBorders>
              <w:top w:val="single" w:color="auto" w:sz="4" w:space="0"/>
              <w:left w:val="single" w:color="auto" w:sz="4" w:space="0"/>
              <w:bottom w:val="single" w:color="auto" w:sz="4" w:space="0"/>
              <w:right w:val="single" w:color="auto" w:sz="4" w:space="0"/>
            </w:tcBorders>
            <w:vAlign w:val="center"/>
          </w:tcPr>
          <w:p>
            <w:pPr>
              <w:snapToGrid w:val="0"/>
              <w:spacing w:before="0" w:after="0" w:line="360" w:lineRule="auto"/>
              <w:ind w:left="0" w:firstLine="0"/>
              <w:jc w:val="center"/>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线路1</w:t>
            </w:r>
          </w:p>
        </w:tc>
        <w:tc>
          <w:tcPr>
            <w:tcW w:w="7315" w:type="dxa"/>
            <w:tcBorders>
              <w:top w:val="single" w:color="auto" w:sz="4" w:space="0"/>
              <w:left w:val="nil"/>
              <w:bottom w:val="single" w:color="auto" w:sz="4" w:space="0"/>
              <w:right w:val="single" w:color="auto" w:sz="4" w:space="0"/>
            </w:tcBorders>
          </w:tcPr>
          <w:p>
            <w:pPr>
              <w:snapToGrid w:val="0"/>
              <w:spacing w:before="0" w:after="0" w:line="360" w:lineRule="auto"/>
              <w:ind w:left="0" w:firstLine="0"/>
              <w:jc w:val="left"/>
              <w:rPr>
                <w:rFonts w:ascii="宋体" w:hAnsi="宋体" w:eastAsia="Times New Roman"/>
                <w:color w:val="000000" w:themeColor="text1"/>
                <w:kern w:val="0"/>
                <w:sz w:val="24"/>
                <w:szCs w:val="24"/>
              </w:rPr>
            </w:pPr>
            <w:r>
              <w:rPr>
                <w:rFonts w:hint="eastAsia" w:ascii="宋体" w:hAnsi="宋体" w:eastAsia="Times New Roman"/>
                <w:color w:val="000000" w:themeColor="text1"/>
                <w:kern w:val="0"/>
                <w:sz w:val="24"/>
                <w:szCs w:val="24"/>
              </w:rPr>
              <w:t>百崎回族乡物流服务站-里春村-后海村-莲埭村-下埭村-百奇村-百奇回族乡农村物流服务站</w:t>
            </w:r>
          </w:p>
        </w:tc>
      </w:tr>
    </w:tbl>
    <w:p>
      <w:pPr>
        <w:snapToGrid w:val="0"/>
        <w:spacing w:line="360" w:lineRule="auto"/>
        <w:ind w:left="0" w:firstLine="560" w:firstLineChars="200"/>
        <w:jc w:val="left"/>
        <w:rPr>
          <w:color w:val="000000" w:themeColor="text1"/>
          <w:kern w:val="0"/>
          <w:sz w:val="28"/>
        </w:rPr>
      </w:pPr>
      <w:r>
        <w:rPr>
          <w:rFonts w:hint="eastAsia"/>
          <w:color w:val="000000" w:themeColor="text1"/>
          <w:kern w:val="0"/>
          <w:sz w:val="28"/>
        </w:rPr>
        <w:t>通过上面的图表分析可知，泉州台商投资区下辖的4个乡镇的配送线路一共制定11条。具体见表3-17。</w:t>
      </w:r>
    </w:p>
    <w:p>
      <w:pPr>
        <w:snapToGrid w:val="0"/>
        <w:spacing w:line="360" w:lineRule="auto"/>
        <w:ind w:firstLine="482" w:firstLineChars="200"/>
        <w:jc w:val="center"/>
        <w:rPr>
          <w:rFonts w:ascii="宋体" w:hAnsi="宋体"/>
          <w:b/>
          <w:bCs/>
          <w:color w:val="000000" w:themeColor="text1"/>
          <w:kern w:val="0"/>
          <w:sz w:val="24"/>
          <w:szCs w:val="24"/>
        </w:rPr>
      </w:pPr>
      <w:r>
        <w:rPr>
          <w:rFonts w:hint="eastAsia" w:ascii="宋体" w:hAnsi="宋体"/>
          <w:b/>
          <w:bCs/>
          <w:color w:val="000000" w:themeColor="text1"/>
          <w:kern w:val="0"/>
          <w:sz w:val="24"/>
          <w:szCs w:val="24"/>
        </w:rPr>
        <w:t>表3-17 泉州台商投资区的配送线路数量</w:t>
      </w:r>
    </w:p>
    <w:tbl>
      <w:tblPr>
        <w:tblStyle w:val="19"/>
        <w:tblW w:w="73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785"/>
        <w:gridCol w:w="2085"/>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590" w:type="dxa"/>
            <w:vAlign w:val="center"/>
          </w:tcPr>
          <w:p>
            <w:pPr>
              <w:snapToGrid w:val="0"/>
              <w:spacing w:before="0" w:after="0" w:line="240" w:lineRule="auto"/>
              <w:jc w:val="center"/>
              <w:rPr>
                <w:rFonts w:ascii="宋体" w:hAnsi="宋体"/>
                <w:b/>
                <w:bCs/>
                <w:color w:val="000000" w:themeColor="text1"/>
                <w:kern w:val="0"/>
                <w:sz w:val="24"/>
                <w:szCs w:val="24"/>
              </w:rPr>
            </w:pPr>
            <w:r>
              <w:rPr>
                <w:rFonts w:hint="eastAsia" w:ascii="宋体" w:hAnsi="宋体"/>
                <w:b/>
                <w:bCs/>
                <w:color w:val="000000" w:themeColor="text1"/>
                <w:kern w:val="0"/>
                <w:sz w:val="24"/>
                <w:szCs w:val="24"/>
              </w:rPr>
              <w:t>东园镇</w:t>
            </w:r>
          </w:p>
        </w:tc>
        <w:tc>
          <w:tcPr>
            <w:tcW w:w="1785" w:type="dxa"/>
            <w:vAlign w:val="center"/>
          </w:tcPr>
          <w:p>
            <w:pPr>
              <w:snapToGrid w:val="0"/>
              <w:spacing w:before="0" w:after="0" w:line="240" w:lineRule="auto"/>
              <w:jc w:val="center"/>
              <w:rPr>
                <w:rFonts w:ascii="宋体" w:hAnsi="宋体"/>
                <w:b/>
                <w:bCs/>
                <w:color w:val="000000" w:themeColor="text1"/>
                <w:kern w:val="0"/>
                <w:sz w:val="24"/>
                <w:szCs w:val="24"/>
              </w:rPr>
            </w:pPr>
            <w:r>
              <w:rPr>
                <w:rFonts w:hint="eastAsia" w:ascii="宋体" w:hAnsi="宋体"/>
                <w:b/>
                <w:bCs/>
                <w:color w:val="000000" w:themeColor="text1"/>
                <w:kern w:val="0"/>
                <w:sz w:val="24"/>
                <w:szCs w:val="24"/>
              </w:rPr>
              <w:t>洛阳镇</w:t>
            </w:r>
          </w:p>
        </w:tc>
        <w:tc>
          <w:tcPr>
            <w:tcW w:w="2085" w:type="dxa"/>
            <w:vAlign w:val="center"/>
          </w:tcPr>
          <w:p>
            <w:pPr>
              <w:snapToGrid w:val="0"/>
              <w:spacing w:before="0" w:after="0" w:line="240" w:lineRule="auto"/>
              <w:jc w:val="center"/>
              <w:rPr>
                <w:rFonts w:ascii="宋体" w:hAnsi="宋体"/>
                <w:b/>
                <w:bCs/>
                <w:color w:val="000000" w:themeColor="text1"/>
                <w:kern w:val="0"/>
                <w:sz w:val="24"/>
                <w:szCs w:val="24"/>
              </w:rPr>
            </w:pPr>
            <w:r>
              <w:rPr>
                <w:rFonts w:hint="eastAsia" w:ascii="宋体" w:hAnsi="宋体"/>
                <w:b/>
                <w:bCs/>
                <w:color w:val="000000" w:themeColor="text1"/>
                <w:kern w:val="0"/>
                <w:sz w:val="24"/>
                <w:szCs w:val="24"/>
              </w:rPr>
              <w:t>张坂镇</w:t>
            </w:r>
          </w:p>
        </w:tc>
        <w:tc>
          <w:tcPr>
            <w:tcW w:w="1845" w:type="dxa"/>
            <w:vAlign w:val="center"/>
          </w:tcPr>
          <w:p>
            <w:pPr>
              <w:snapToGrid w:val="0"/>
              <w:spacing w:before="0" w:after="0" w:line="240" w:lineRule="auto"/>
              <w:jc w:val="center"/>
              <w:rPr>
                <w:rFonts w:ascii="宋体" w:hAnsi="宋体"/>
                <w:b/>
                <w:bCs/>
                <w:color w:val="000000" w:themeColor="text1"/>
                <w:kern w:val="0"/>
                <w:sz w:val="24"/>
                <w:szCs w:val="24"/>
              </w:rPr>
            </w:pPr>
            <w:r>
              <w:rPr>
                <w:rFonts w:hint="eastAsia" w:ascii="宋体" w:hAnsi="宋体"/>
                <w:b/>
                <w:bCs/>
                <w:color w:val="000000" w:themeColor="text1"/>
                <w:kern w:val="0"/>
                <w:sz w:val="24"/>
                <w:szCs w:val="24"/>
              </w:rPr>
              <w:t>百崎回族乡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590" w:type="dxa"/>
            <w:vAlign w:val="center"/>
          </w:tcPr>
          <w:p>
            <w:pPr>
              <w:snapToGrid w:val="0"/>
              <w:spacing w:before="0" w:after="0" w:line="240" w:lineRule="auto"/>
              <w:jc w:val="center"/>
              <w:rPr>
                <w:rFonts w:ascii="宋体" w:hAnsi="宋体"/>
                <w:bCs/>
                <w:color w:val="000000" w:themeColor="text1"/>
                <w:kern w:val="0"/>
                <w:sz w:val="24"/>
                <w:szCs w:val="24"/>
              </w:rPr>
            </w:pPr>
            <w:r>
              <w:rPr>
                <w:rFonts w:hint="eastAsia" w:ascii="宋体" w:hAnsi="宋体"/>
                <w:bCs/>
                <w:color w:val="000000" w:themeColor="text1"/>
                <w:kern w:val="0"/>
                <w:sz w:val="24"/>
                <w:szCs w:val="24"/>
              </w:rPr>
              <w:t>3条</w:t>
            </w:r>
          </w:p>
        </w:tc>
        <w:tc>
          <w:tcPr>
            <w:tcW w:w="1785" w:type="dxa"/>
            <w:vAlign w:val="center"/>
          </w:tcPr>
          <w:p>
            <w:pPr>
              <w:snapToGrid w:val="0"/>
              <w:spacing w:before="0" w:after="0" w:line="240" w:lineRule="auto"/>
              <w:jc w:val="center"/>
              <w:rPr>
                <w:rFonts w:ascii="宋体" w:hAnsi="宋体"/>
                <w:bCs/>
                <w:color w:val="000000" w:themeColor="text1"/>
                <w:kern w:val="0"/>
                <w:sz w:val="24"/>
                <w:szCs w:val="24"/>
              </w:rPr>
            </w:pPr>
            <w:r>
              <w:rPr>
                <w:rFonts w:hint="eastAsia" w:ascii="宋体" w:hAnsi="宋体"/>
                <w:bCs/>
                <w:color w:val="000000" w:themeColor="text1"/>
                <w:kern w:val="0"/>
                <w:sz w:val="24"/>
                <w:szCs w:val="24"/>
              </w:rPr>
              <w:t>3条</w:t>
            </w:r>
          </w:p>
        </w:tc>
        <w:tc>
          <w:tcPr>
            <w:tcW w:w="2085" w:type="dxa"/>
            <w:vAlign w:val="center"/>
          </w:tcPr>
          <w:p>
            <w:pPr>
              <w:snapToGrid w:val="0"/>
              <w:spacing w:before="0" w:after="0" w:line="240" w:lineRule="auto"/>
              <w:jc w:val="center"/>
              <w:rPr>
                <w:rFonts w:ascii="宋体" w:hAnsi="宋体"/>
                <w:bCs/>
                <w:color w:val="000000" w:themeColor="text1"/>
                <w:kern w:val="0"/>
                <w:sz w:val="24"/>
                <w:szCs w:val="24"/>
              </w:rPr>
            </w:pPr>
            <w:r>
              <w:rPr>
                <w:rFonts w:hint="eastAsia" w:ascii="宋体" w:hAnsi="宋体"/>
                <w:bCs/>
                <w:color w:val="000000" w:themeColor="text1"/>
                <w:kern w:val="0"/>
                <w:sz w:val="24"/>
                <w:szCs w:val="24"/>
              </w:rPr>
              <w:t>4条</w:t>
            </w:r>
          </w:p>
        </w:tc>
        <w:tc>
          <w:tcPr>
            <w:tcW w:w="1845" w:type="dxa"/>
            <w:vAlign w:val="center"/>
          </w:tcPr>
          <w:p>
            <w:pPr>
              <w:snapToGrid w:val="0"/>
              <w:spacing w:before="0" w:after="0" w:line="240" w:lineRule="auto"/>
              <w:jc w:val="center"/>
              <w:rPr>
                <w:rFonts w:ascii="宋体" w:hAnsi="宋体"/>
                <w:bCs/>
                <w:color w:val="000000" w:themeColor="text1"/>
                <w:kern w:val="0"/>
                <w:sz w:val="24"/>
                <w:szCs w:val="24"/>
              </w:rPr>
            </w:pPr>
            <w:r>
              <w:rPr>
                <w:rFonts w:hint="eastAsia" w:ascii="宋体" w:hAnsi="宋体"/>
                <w:bCs/>
                <w:color w:val="000000" w:themeColor="text1"/>
                <w:kern w:val="0"/>
                <w:sz w:val="24"/>
                <w:szCs w:val="24"/>
              </w:rPr>
              <w:t>1条</w:t>
            </w:r>
          </w:p>
        </w:tc>
      </w:tr>
    </w:tbl>
    <w:p>
      <w:pPr>
        <w:snapToGrid w:val="0"/>
        <w:spacing w:before="0" w:after="0" w:line="360" w:lineRule="auto"/>
        <w:ind w:left="0" w:firstLine="480" w:firstLineChars="200"/>
        <w:jc w:val="center"/>
        <w:rPr>
          <w:rFonts w:ascii="宋体" w:hAnsi="宋体"/>
          <w:color w:val="000000" w:themeColor="text1"/>
          <w:kern w:val="0"/>
          <w:sz w:val="24"/>
          <w:szCs w:val="24"/>
        </w:rPr>
      </w:pPr>
    </w:p>
    <w:p>
      <w:pPr>
        <w:pStyle w:val="3"/>
        <w:numPr>
          <w:ilvl w:val="1"/>
          <w:numId w:val="2"/>
        </w:numPr>
        <w:ind w:left="783"/>
        <w:jc w:val="left"/>
        <w:rPr>
          <w:rFonts w:ascii="Times New Roman" w:hAnsi="Times New Roman"/>
          <w:color w:val="000000" w:themeColor="text1"/>
        </w:rPr>
      </w:pPr>
      <w:bookmarkStart w:id="31" w:name="_Toc528526458"/>
      <w:r>
        <w:rPr>
          <w:rFonts w:hint="eastAsia" w:ascii="Times New Roman" w:hAnsi="Times New Roman"/>
          <w:color w:val="000000" w:themeColor="text1"/>
        </w:rPr>
        <w:t>农村物流信息平台规划</w:t>
      </w:r>
      <w:bookmarkEnd w:id="31"/>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农村物流应充分利用现代信息技术成功，借助网络和其他媒体，加强和完善运输信息化体系建设，建立区域性市场运输供求信息的收集、整理和发布平台；整合台商投资区域范围内的农资、日用品等物流资源；鼓励超市、农资配送部门转型为公共配送物流企业，鼓励企业依托物流企业实行统一配送。</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目前，泉州台商投资区农村物流信息网络的建设还比较落后，计算机信息技术和网路技术手段的应用还很欠缺。因此，加快信息平台建设，迅速搭建城乡之间高速信息网络，推广、等信息技术的应用，为政府、企业、用户提供实时、快捷和高效的信息服务，促进泉州台商投资区农村物流向集约化、规模化和高效化健康有序的发展。泉州台商投资区农村物流信息平台的建设，形成全区农村物流信息资源的集聚与共享，实现人、车、货等物流资源的有效对接和整合，并保证物流信息的完整性、及时性、准确性。</w:t>
      </w:r>
    </w:p>
    <w:p>
      <w:pPr>
        <w:keepNext/>
        <w:widowControl/>
        <w:spacing w:before="240" w:after="60" w:line="240" w:lineRule="atLeast"/>
        <w:ind w:left="720" w:hanging="720"/>
        <w:jc w:val="left"/>
        <w:outlineLvl w:val="2"/>
        <w:rPr>
          <w:rFonts w:ascii="Times New Roman" w:hAnsi="Times New Roman" w:eastAsia="黑体"/>
          <w:bCs/>
          <w:color w:val="000000" w:themeColor="text1"/>
          <w:kern w:val="0"/>
          <w:sz w:val="30"/>
          <w:szCs w:val="30"/>
        </w:rPr>
      </w:pPr>
      <w:r>
        <w:rPr>
          <w:rFonts w:hint="eastAsia" w:ascii="Times New Roman" w:hAnsi="Times New Roman" w:eastAsia="黑体"/>
          <w:bCs/>
          <w:color w:val="000000" w:themeColor="text1"/>
          <w:kern w:val="0"/>
          <w:sz w:val="30"/>
          <w:szCs w:val="30"/>
        </w:rPr>
        <w:t>3.7.1</w:t>
      </w:r>
      <w:r>
        <w:rPr>
          <w:rFonts w:hint="eastAsia" w:ascii="黑体" w:hAnsi="黑体" w:eastAsia="黑体"/>
          <w:bCs/>
          <w:color w:val="000000" w:themeColor="text1"/>
          <w:kern w:val="0"/>
          <w:sz w:val="30"/>
          <w:szCs w:val="30"/>
        </w:rPr>
        <w:t>物流信息平台需求分析</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农村物流信息平台的建设，最重要的是要解决信息共享、信息不对称的问题。应用现代物流的理念开发建设，不仅是对农村物流运力、货源信息的发布，还应该建立农业生产数据和信息的收集、传播和共享平台，完善平台服务功能，扩大平台覆盖范围，引导企业应用先进科技，实现信息的互通互联。在信息平台设计时引入智慧物流，提升物流效率、降低物流成本、提升用户体验满意度。通过设计智慧物流信息平台，整合各种物流信息与资源，运用先进的信息技术和智能技术，一体化运作供应链物流，智能化地解决物流问题。智慧物流信息平台有助于解决物流业务主体信息化平台重复建设、信息孤立、智慧化功能欠缺等问题。通过整合各种物流信息与资源，集成应用人工智能技术，智慧物流信息平台能够提供高效率、低成本、一体化的物流服务，促进地方经济的发展。</w:t>
      </w:r>
    </w:p>
    <w:p>
      <w:pPr>
        <w:snapToGrid w:val="0"/>
        <w:spacing w:before="0" w:after="0" w:line="360" w:lineRule="auto"/>
        <w:ind w:left="0" w:firstLine="560" w:firstLineChars="200"/>
        <w:jc w:val="left"/>
        <w:rPr>
          <w:color w:val="000000" w:themeColor="text1"/>
          <w:kern w:val="0"/>
          <w:sz w:val="28"/>
          <w:szCs w:val="28"/>
        </w:rPr>
      </w:pPr>
      <w:r>
        <w:rPr>
          <w:rFonts w:hint="eastAsia"/>
          <w:color w:val="000000" w:themeColor="text1"/>
          <w:kern w:val="0"/>
          <w:sz w:val="28"/>
          <w:szCs w:val="28"/>
        </w:rPr>
        <w:t>1.</w:t>
      </w:r>
      <w:r>
        <w:rPr>
          <w:rFonts w:hint="eastAsia" w:ascii="宋体" w:hAnsi="宋体"/>
          <w:color w:val="000000" w:themeColor="text1"/>
          <w:kern w:val="0"/>
          <w:sz w:val="28"/>
          <w:szCs w:val="28"/>
        </w:rPr>
        <w:t>物流智能化</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物流智能是当前物流发展的最高层次。智能化的物流信息系统能实现管理过程的智能化，更高质量地为顾客提供增值性物流服务。信息平台通过</w:t>
      </w:r>
      <w:r>
        <w:rPr>
          <w:rFonts w:hint="eastAsia"/>
          <w:color w:val="000000" w:themeColor="text1"/>
          <w:kern w:val="0"/>
          <w:sz w:val="28"/>
          <w:szCs w:val="28"/>
        </w:rPr>
        <w:t>RFID</w:t>
      </w:r>
      <w:r>
        <w:rPr>
          <w:rFonts w:hint="eastAsia" w:ascii="宋体" w:hAnsi="宋体"/>
          <w:color w:val="000000" w:themeColor="text1"/>
          <w:kern w:val="0"/>
          <w:sz w:val="28"/>
          <w:szCs w:val="28"/>
        </w:rPr>
        <w:t>、传感器技术、</w:t>
      </w:r>
      <w:r>
        <w:rPr>
          <w:rFonts w:hint="eastAsia" w:cs="Calibri"/>
          <w:color w:val="000000" w:themeColor="text1"/>
          <w:kern w:val="0"/>
          <w:sz w:val="28"/>
          <w:szCs w:val="28"/>
        </w:rPr>
        <w:t xml:space="preserve">GPS </w:t>
      </w:r>
      <w:r>
        <w:rPr>
          <w:rFonts w:hint="eastAsia" w:ascii="宋体" w:hAnsi="宋体"/>
          <w:color w:val="000000" w:themeColor="text1"/>
          <w:kern w:val="0"/>
          <w:sz w:val="28"/>
          <w:szCs w:val="28"/>
        </w:rPr>
        <w:t>等技术的集成应用，可实现运输工具的实时跟踪与调度、仓储的自动化管理，应用大数据挖掘及分析技术，该平台能够提供运输路径优化、客户深度开发服务，为企业用户和政府相关部门提供决策支持。</w:t>
      </w:r>
    </w:p>
    <w:p>
      <w:pPr>
        <w:snapToGrid w:val="0"/>
        <w:spacing w:before="0" w:after="0" w:line="360" w:lineRule="auto"/>
        <w:ind w:left="0" w:firstLine="560" w:firstLineChars="200"/>
        <w:jc w:val="left"/>
        <w:rPr>
          <w:color w:val="000000" w:themeColor="text1"/>
          <w:kern w:val="0"/>
          <w:sz w:val="28"/>
          <w:szCs w:val="28"/>
        </w:rPr>
      </w:pPr>
      <w:r>
        <w:rPr>
          <w:rFonts w:hint="eastAsia"/>
          <w:color w:val="000000" w:themeColor="text1"/>
          <w:kern w:val="0"/>
          <w:sz w:val="28"/>
          <w:szCs w:val="28"/>
        </w:rPr>
        <w:t>2.</w:t>
      </w:r>
      <w:r>
        <w:rPr>
          <w:rFonts w:hint="eastAsia" w:ascii="宋体" w:hAnsi="宋体"/>
          <w:color w:val="000000" w:themeColor="text1"/>
          <w:kern w:val="0"/>
          <w:sz w:val="28"/>
          <w:szCs w:val="28"/>
        </w:rPr>
        <w:t>物流集成化</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物流集成包括两个方面：在系统内部，需要实现物流设备、感知端信息数据采集、信息数据处理等技术的集成，在功能上实现对接；在整条物流管理链上，需要实现信息平台同其他物流信息系统的集成。不同主体彼此间交换与共享信息，信息平台通过集成与整合各个系统的资源与信息，借助大数据、智能技术为相关使用方提供一体化智能物流服务与决策支持。</w:t>
      </w:r>
    </w:p>
    <w:p>
      <w:pPr>
        <w:snapToGrid w:val="0"/>
        <w:spacing w:before="0" w:after="0" w:line="360" w:lineRule="auto"/>
        <w:ind w:left="0" w:firstLine="560" w:firstLineChars="200"/>
        <w:jc w:val="left"/>
        <w:rPr>
          <w:color w:val="000000" w:themeColor="text1"/>
          <w:kern w:val="0"/>
          <w:sz w:val="28"/>
          <w:szCs w:val="28"/>
        </w:rPr>
      </w:pPr>
      <w:r>
        <w:rPr>
          <w:rFonts w:hint="eastAsia"/>
          <w:color w:val="000000" w:themeColor="text1"/>
          <w:kern w:val="0"/>
          <w:sz w:val="28"/>
          <w:szCs w:val="28"/>
        </w:rPr>
        <w:t>3.</w:t>
      </w:r>
      <w:r>
        <w:rPr>
          <w:rFonts w:hint="eastAsia" w:ascii="宋体" w:hAnsi="宋体"/>
          <w:color w:val="000000" w:themeColor="text1"/>
          <w:kern w:val="0"/>
          <w:sz w:val="28"/>
          <w:szCs w:val="28"/>
        </w:rPr>
        <w:t>信息标准化集成</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物流信息平台涉及物流企业、物流需求方、相关政府部门等，需要将各个主体的各类信息系统整合在一起。不同主体各类系统的信息传输标准、存储标准和开发环境不一致，导致不同的数据标准、接口和规范。因此，需要解决这些不同系统间异构数据的交换和信息共享难题。信息标准化集成平台可以完成信息的标准化和规范化定义，通过提供相应的数据接口，让异构系统和异构数据格式之间可以进行数据交换和格式转换，这样，不同的系统在平台上能够实现相互连接和交互。</w:t>
      </w:r>
    </w:p>
    <w:p>
      <w:pPr>
        <w:snapToGrid w:val="0"/>
        <w:spacing w:before="0" w:after="0" w:line="360" w:lineRule="auto"/>
        <w:ind w:left="0" w:firstLine="560" w:firstLineChars="200"/>
        <w:jc w:val="left"/>
        <w:rPr>
          <w:color w:val="000000" w:themeColor="text1"/>
          <w:kern w:val="0"/>
          <w:sz w:val="28"/>
          <w:szCs w:val="28"/>
        </w:rPr>
      </w:pPr>
      <w:r>
        <w:rPr>
          <w:rFonts w:hint="eastAsia"/>
          <w:color w:val="000000" w:themeColor="text1"/>
          <w:kern w:val="0"/>
          <w:sz w:val="28"/>
          <w:szCs w:val="28"/>
        </w:rPr>
        <w:t>4.</w:t>
      </w:r>
      <w:r>
        <w:rPr>
          <w:rFonts w:hint="eastAsia" w:ascii="宋体" w:hAnsi="宋体"/>
          <w:color w:val="000000" w:themeColor="text1"/>
          <w:kern w:val="0"/>
          <w:sz w:val="28"/>
          <w:szCs w:val="28"/>
        </w:rPr>
        <w:t>平台服务移动化</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移动互联网、智能手机的普及应用对平台服务便捷性提出了更高的要求。通过智能终端设备，使用者希望在平台上随时发布需求信息和物流服务，在平台上及时查询货物处于物流哪个环节、处于何种状态，实现对车辆、人员的跟踪定位。这就需要平台与相关网站、客户端、移动</w:t>
      </w:r>
      <w:r>
        <w:rPr>
          <w:rFonts w:hint="eastAsia"/>
          <w:color w:val="000000" w:themeColor="text1"/>
          <w:kern w:val="0"/>
          <w:sz w:val="28"/>
          <w:szCs w:val="28"/>
        </w:rPr>
        <w:t xml:space="preserve">APP </w:t>
      </w:r>
      <w:r>
        <w:rPr>
          <w:rFonts w:hint="eastAsia" w:ascii="宋体" w:hAnsi="宋体"/>
          <w:color w:val="000000" w:themeColor="text1"/>
          <w:kern w:val="0"/>
          <w:sz w:val="28"/>
          <w:szCs w:val="28"/>
        </w:rPr>
        <w:t>等多渠道实现互通与交互。</w:t>
      </w:r>
    </w:p>
    <w:p>
      <w:pPr>
        <w:snapToGrid w:val="0"/>
        <w:spacing w:before="0" w:after="0" w:line="360" w:lineRule="auto"/>
        <w:ind w:left="0" w:firstLine="560" w:firstLineChars="200"/>
        <w:jc w:val="left"/>
        <w:rPr>
          <w:color w:val="000000" w:themeColor="text1"/>
          <w:kern w:val="0"/>
          <w:sz w:val="28"/>
          <w:szCs w:val="28"/>
        </w:rPr>
      </w:pPr>
      <w:r>
        <w:rPr>
          <w:rFonts w:hint="eastAsia"/>
          <w:color w:val="000000" w:themeColor="text1"/>
          <w:kern w:val="0"/>
          <w:sz w:val="28"/>
          <w:szCs w:val="28"/>
        </w:rPr>
        <w:t>5.</w:t>
      </w:r>
      <w:r>
        <w:rPr>
          <w:rFonts w:hint="eastAsia" w:ascii="宋体" w:hAnsi="宋体"/>
          <w:color w:val="000000" w:themeColor="text1"/>
          <w:kern w:val="0"/>
          <w:sz w:val="28"/>
          <w:szCs w:val="28"/>
        </w:rPr>
        <w:t>信用及安全保障</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平台上参与主体众多、服务内容和环节复杂而多元，相关主体关注企业信用、交易安全、信息安全等保障需求。平台需要联合交通、工商等部门，对入驻平台的主体进行信用审核和评价跟踪。同时，借助第三方管理机构和安全管理工具，提供安全的交易环境，保障资金、数据信息的安全。</w:t>
      </w:r>
    </w:p>
    <w:p>
      <w:pPr>
        <w:keepNext/>
        <w:widowControl/>
        <w:spacing w:before="240" w:after="60" w:line="240" w:lineRule="atLeast"/>
        <w:ind w:left="720" w:hanging="720"/>
        <w:jc w:val="left"/>
        <w:outlineLvl w:val="2"/>
        <w:rPr>
          <w:rFonts w:ascii="Times New Roman" w:hAnsi="Times New Roman" w:eastAsia="黑体"/>
          <w:bCs/>
          <w:color w:val="000000" w:themeColor="text1"/>
          <w:kern w:val="0"/>
          <w:sz w:val="30"/>
          <w:szCs w:val="30"/>
        </w:rPr>
      </w:pPr>
      <w:r>
        <w:rPr>
          <w:rFonts w:hint="eastAsia" w:ascii="Times New Roman" w:hAnsi="Times New Roman" w:eastAsia="黑体"/>
          <w:bCs/>
          <w:color w:val="000000" w:themeColor="text1"/>
          <w:kern w:val="0"/>
          <w:sz w:val="30"/>
          <w:szCs w:val="30"/>
        </w:rPr>
        <w:t>3.7.2物流信息平台结构设计</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智慧物流的引入，物流信息平台的功能实质上是对物流活动从始端到终端全过程的控制，实现流程的智慧管理，以更加精确、动态的方式管理物流活动，提升一体化物流服务水平，为用户带来更大价值。为最大程度的满足各方的需求，物流信息平台框架的搭建，需要以需求分析为依据，将大数据、云计算、移动互联网等新信息技术，嵌入平台架构之中，形成信息技术的集成应用。基于分层式的体系结构设计能够较好地实现同步开发，并能够确保平台各分层具有一定的可</w:t>
      </w:r>
    </w:p>
    <w:p>
      <w:pPr>
        <w:snapToGrid w:val="0"/>
        <w:spacing w:before="0" w:after="0" w:line="360" w:lineRule="auto"/>
        <w:ind w:left="0" w:firstLine="0"/>
        <w:jc w:val="left"/>
        <w:rPr>
          <w:rFonts w:ascii="宋体" w:hAnsi="宋体"/>
          <w:color w:val="000000" w:themeColor="text1"/>
          <w:kern w:val="0"/>
          <w:sz w:val="28"/>
          <w:szCs w:val="28"/>
        </w:rPr>
      </w:pPr>
      <w:r>
        <w:rPr>
          <w:rFonts w:hint="eastAsia" w:ascii="宋体" w:hAnsi="宋体"/>
          <w:color w:val="000000" w:themeColor="text1"/>
          <w:kern w:val="0"/>
          <w:sz w:val="28"/>
          <w:szCs w:val="28"/>
        </w:rPr>
        <w:t>扩展性和适应性。平台的结构框架如图</w:t>
      </w:r>
      <w:r>
        <w:rPr>
          <w:rFonts w:hint="eastAsia"/>
          <w:color w:val="000000" w:themeColor="text1"/>
          <w:kern w:val="0"/>
          <w:sz w:val="28"/>
          <w:szCs w:val="28"/>
        </w:rPr>
        <w:t>4-10</w:t>
      </w:r>
      <w:r>
        <w:rPr>
          <w:rFonts w:hint="eastAsia" w:ascii="宋体" w:hAnsi="宋体"/>
          <w:color w:val="000000" w:themeColor="text1"/>
          <w:kern w:val="0"/>
          <w:sz w:val="28"/>
          <w:szCs w:val="28"/>
        </w:rPr>
        <w:t>所示。它分为四大层：基础设施层、数据库层、应用服务层及用户展示层等。</w:t>
      </w:r>
    </w:p>
    <w:p>
      <w:pPr>
        <w:snapToGrid w:val="0"/>
        <w:spacing w:before="0" w:after="0" w:line="360" w:lineRule="auto"/>
        <w:ind w:left="0" w:firstLine="0"/>
        <w:jc w:val="left"/>
        <w:rPr>
          <w:color w:val="000000" w:themeColor="text1"/>
          <w:kern w:val="0"/>
          <w:sz w:val="28"/>
          <w:szCs w:val="28"/>
        </w:rPr>
      </w:pPr>
      <w:r>
        <w:rPr>
          <w:color w:val="000000" w:themeColor="text1"/>
        </w:rPr>
        <w:pict>
          <v:group id="组合 139" o:spid="_x0000_s1415" o:spt="203" style="position:absolute;left:0pt;margin-left:-12pt;margin-top:161.2pt;height:457.4pt;width:445.2pt;z-index:251678720;mso-width-relative:page;mso-height-relative:page;" coordsize="8906,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">
            <o:lock v:ext="edit"/>
            <v:group id="组合 140" o:spid="_x0000_s1416" o:spt="203" style="position:absolute;left:5108;top:2052;height:2628;width:3573;" coordorigin="5108,2052" coordsize="3573,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o:lock v:ext="edit"/>
              <v:roundrect id="矩形: 圆角 21" o:spid="_x0000_s1417" o:spt="2" style="position:absolute;left:5175;top:2791;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K9cIA&#10;AADcAAAADwAAAGRycy9kb3ducmV2LnhtbERPS2vCQBC+F/wPywheim4SRGuaVYIQKJ6qLT0Pu5MH&#10;zc6G7Krpv3cLhd7m43tOcZhsL240+s6xgnSVgCDWznTcKPj8qJYvIHxANtg7JgU/5OGwnz0VmBt3&#10;5zPdLqERMYR9jgraEIZcSq9bsuhXbiCOXO1GiyHCsZFmxHsMt73MkmQjLXYcG1oc6NiS/r5crQJ/&#10;un5V29rrbDvtElk9l2uXvSu1mE/lK4hAU/gX/7nfTJy/TuH3mXi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0r1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信息发布</w:t>
                      </w:r>
                    </w:p>
                  </w:txbxContent>
                </v:textbox>
              </v:roundrect>
              <v:roundrect id="矩形: 圆角 22" o:spid="_x0000_s1418" o:spt="2" style="position:absolute;left:6821;top:2781;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UgsIA&#10;AADcAAAADwAAAGRycy9kb3ducmV2LnhtbERPTWvCQBC9F/oflhG8FN00SNXoJogQKJ5sLD0P2TEJ&#10;ZmdDdk3Sf+8WCt7m8T5nn02mFQP1rrGs4H0ZgSAurW64UvB9yRcbEM4ja2wtk4JfcpClry97TLQd&#10;+YuGwlcihLBLUEHtfZdI6cqaDLql7YgDd7W9QR9gX0nd4xjCTSvjKPqQBhsODTV2dKypvBV3o8Cd&#10;7j/5+urKeD1tI5m/HVY2Pis1n02HHQhPk3+K/92fOsxfxfD3TLh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dSC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订单处理</w:t>
                      </w:r>
                    </w:p>
                  </w:txbxContent>
                </v:textbox>
              </v:roundrect>
              <v:roundrect id="矩形: 圆角 24" o:spid="_x0000_s1419" o:spt="2" style="position:absolute;left:5219;top:3894;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GcAA&#10;AADcAAAADwAAAGRycy9kb3ducmV2LnhtbERPTYvCMBC9C/6HMIIX0dQqq1ajiFAQT7sqnodmbIvN&#10;pDRR6783grC3ebzPWW1aU4kHNa60rGA8ikAQZ1aXnCs4n9LhHITzyBory6TgRQ42625nhYm2T/6j&#10;x9HnIoSwS1BB4X2dSOmyggy6ka2JA3e1jUEfYJNL3eAzhJtKxlH0Iw2WHBoKrGlXUHY73o0Cd7hf&#10;0tnVZfGsXUQyHWynNv5Vqt9rt0sQnlr/L/669zrMn07g80y4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xGcAAAADcAAAADwAAAAAAAAAAAAAAAACYAgAAZHJzL2Rvd25y&#10;ZXYueG1sUEsFBgAAAAAEAAQA9QAAAIUDA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查询检索</w:t>
                      </w:r>
                    </w:p>
                  </w:txbxContent>
                </v:textbox>
              </v:roundrect>
              <v:roundrect id="矩形: 圆角 25" o:spid="_x0000_s1420" o:spt="2" style="position:absolute;left:6840;top:3922;height:650;width:1731;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bcIA&#10;AADcAAAADwAAAGRycy9kb3ducmV2LnhtbERPS2vCQBC+C/6HZYRexGwModrUVaQQEE+tlp6H7OSB&#10;2dmQ3cT4791Cobf5+J6zO0ymFSP1rrGsYB3FIIgLqxuuFHxf89UWhPPIGlvLpOBBDg77+WyHmbZ3&#10;/qLx4isRQthlqKD2vsukdEVNBl1kO+LAlbY36APsK6l7vIdw08okjl+lwYZDQ40dfdRU3C6DUeDO&#10;w0++KV2RbKa3WObLY2qTT6VeFtPxHYSnyf+L/9wnHeanKfw+Ey6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9Olt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车辆跟踪监控</w:t>
                      </w:r>
                    </w:p>
                  </w:txbxContent>
                </v:textbox>
              </v:roundrect>
              <v:rect id="矩形 145" o:spid="_x0000_s1421" o:spt="1" style="position:absolute;left:5108;top:2057;height:2623;width:3573;"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848AA&#10;AADcAAAADwAAAGRycy9kb3ducmV2LnhtbERPTYvCMBC9L/gfwgheFk0VV6UaRQRF8SBWL96GZmyL&#10;zaQ0Ueu/N4Kwt3m8z5ktGlOKB9WusKyg34tAEKdWF5wpOJ/W3QkI55E1lpZJwYscLOatnxnG2j75&#10;SI/EZyKEsItRQe59FUvp0pwMup6tiAN3tbVBH2CdSV3jM4SbUg6iaCQNFhwacqxolVN6S+5GwYhp&#10;s7e/Lhov/eXU8Ko6JMVOqU67WU5BeGr8v/jr3uowf/gHn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848AAAADcAAAADwAAAAAAAAAAAAAAAACYAgAAZHJzL2Rvd25y&#10;ZXYueG1sUEsFBgAAAAAEAAQA9QAAAIUDAAAAAA==&#10;">
                <v:path/>
                <v:fill on="f" focussize="0,0"/>
                <v:stroke weight="2pt" color="#385D8A"/>
                <v:imagedata o:title=""/>
                <o:lock v:ext="edit"/>
              </v:rect>
              <v:roundrect id="矩形: 圆角 10" o:spid="_x0000_s1422" o:spt="2" style="position:absolute;left:5329;top:2052;height:600;width:3051;v-text-anchor:middle;" filled="f" stroked="f"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iuMIA&#10;AADcAAAADwAAAGRycy9kb3ducmV2LnhtbERPTWsCMRC9F/ofwhR6q9lKkXZrlCIIXhSqIvQ23YzZ&#10;xc1kTUZd++ubgtDbPN7njKe9b9WZYmoCG3geFKCIq2Abdga2m/nTK6gkyBbbwGTgSgmmk/u7MZY2&#10;XPiTzmtxKodwKtFALdKVWqeqJo9pEDrizO1D9CgZRqdtxEsO960eFsVIe2w4N9TY0aym6rA+eQPu&#10;uHe9rA44/Pn2u6/Oy1vUS2MeH/qPd1BCvfyLb+6FzfNfRvD3TL5AT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uK4wgAAANwAAAAPAAAAAAAAAAAAAAAAAJgCAABkcnMvZG93&#10;bnJldi54bWxQSwUGAAAAAAQABAD1AAAAhwMAAAAA&#10;">
                <v:path/>
                <v:fill on="f" focussize="0,0"/>
                <v:stroke on="f" weight="1pt"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智慧物流信息功能模块</w:t>
                      </w:r>
                    </w:p>
                  </w:txbxContent>
                </v:textbox>
              </v:roundrect>
              <v:line id="直接连接符 147" o:spid="_x0000_s1423" o:spt="20" style="position:absolute;left:5749;top:3635;height:0;width:2247;"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9MBcIAAADcAAAADwAAAGRycy9kb3ducmV2LnhtbERP22oCMRB9L/QfwhT6VrOVRWU1SikI&#10;0j5YtR8w3Yybxc1km8S9/H0jFHybw7nOajPYRnTkQ+1YweskA0FcOl1zpeD7tH1ZgAgRWWPjmBSM&#10;FGCzfnxYYaFdzwfqjrESKYRDgQpMjG0hZSgNWQwT1xIn7uy8xZigr6T22Kdw28hpls2kxZpTg8GW&#10;3g2Vl+PVKqjmXzOWP7/l2U33u49P46wfc6Wen4a3JYhIQ7yL/907nebnc7g9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9MBcIAAADcAAAADwAAAAAAAAAAAAAA&#10;AAChAgAAZHJzL2Rvd25yZXYueG1sUEsFBgAAAAAEAAQA+QAAAJADAAAAAA==&#10;">
                <v:path arrowok="t"/>
                <v:fill focussize="0,0"/>
                <v:stroke weight="2pt" color="#385D8A" dashstyle="longDash"/>
                <v:imagedata o:title=""/>
                <o:lock v:ext="edit"/>
              </v:line>
            </v:group>
            <v:group id="组合 148" o:spid="_x0000_s1424" o:spt="203" style="position:absolute;left:0;top:0;height:9149;width:8906;" coordsize="8906,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o:lock v:ext="edit"/>
              <v:line id="直接连接符 149" o:spid="_x0000_s1425" o:spt="20" style="position:absolute;left:281;top:1886;height:0;width:8495;"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F8MAAADcAAAADwAAAGRycy9kb3ducmV2LnhtbERP32vCMBB+F/wfwgl709SxiXZNRYTB&#10;xlBYN/H1aG5ttbmUJNP2v18EYW/38f28bN2bVlzI+caygvksAUFcWt1wpeD763W6BOEDssbWMikY&#10;yMM6H48yTLW98iddilCJGMI+RQV1CF0qpS9rMuhntiOO3I91BkOErpLa4TWGm1Y+JslCGmw4NtTY&#10;0bam8lz8GgXHwS27A+3m79VptXMfQ/G8x0Gph0m/eQERqA//4rv7Tcf5Tyu4PRMv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p/hfDAAAA3AAAAA8AAAAAAAAAAAAA&#10;AAAAoQIAAGRycy9kb3ducmV2LnhtbFBLBQYAAAAABAAEAPkAAACRAwAAAAA=&#10;">
                <v:path arrowok="t"/>
                <v:fill focussize="0,0"/>
                <v:stroke weight="2pt" color="#4A7EBB"/>
                <v:imagedata o:title=""/>
                <o:lock v:ext="edit"/>
              </v:line>
              <v:line id="直接连接符 150" o:spid="_x0000_s1426" o:spt="20" style="position:absolute;left:102;top:6473;height:0;width:8786;"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BV8UAAADcAAAADwAAAGRycy9kb3ducmV2LnhtbESPQWvCQBCF7wX/wzJCb3VjwaLRVYog&#10;tBSFxhavQ3ZMYrOzYXeryb/vHITeZnhv3vtmteldq64UYuPZwHSSgSIuvW24MvB13D3NQcWEbLH1&#10;TAYGirBZjx5WmFt/40+6FqlSEsIxRwN1Sl2udSxrchgnviMW7eyDwyRrqLQNeJNw1+rnLHvRDhuW&#10;hho72tZU/hS/zsBpCPPum/bT9+qy2IePoZgdcDDmcdy/LkEl6tO/+X79ZgV/JvjyjE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rBV8UAAADcAAAADwAAAAAAAAAA&#10;AAAAAAChAgAAZHJzL2Rvd25yZXYueG1sUEsFBgAAAAAEAAQA+QAAAJMDAAAAAA==&#10;">
                <v:path arrowok="t"/>
                <v:fill focussize="0,0"/>
                <v:stroke weight="2pt" color="#4A7EBB"/>
                <v:imagedata o:title=""/>
                <o:lock v:ext="edit"/>
              </v:line>
              <v:line id="直接连接符 151" o:spid="_x0000_s1427" o:spt="20" style="position:absolute;left:136;top:4862;height:6;width:8622;"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kzMIAAADcAAAADwAAAGRycy9kb3ducmV2LnhtbERP32vCMBB+F/wfwgl707QDRatRxmCw&#10;MRxYFV+P5mzrmktJMm3/ezMQfLuP7+etNp1pxJWcry0rSCcJCOLC6ppLBYf9x3gOwgdkjY1lUtCT&#10;h816OFhhpu2Nd3TNQyliCPsMFVQhtJmUvqjIoJ/YljhyZ+sMhghdKbXDWww3jXxNkpk0WHNsqLCl&#10;94qK3/zPKDj1bt4eaZt+lZfF1n33+fQHe6VeRt3bEkSgLjzFD/enjvOnKfw/Ey+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kzMIAAADcAAAADwAAAAAAAAAAAAAA&#10;AAChAgAAZHJzL2Rvd25yZXYueG1sUEsFBgAAAAAEAAQA+QAAAJADAAAAAA==&#10;">
                <v:path arrowok="t"/>
                <v:fill focussize="0,0"/>
                <v:stroke weight="2pt" color="#4A7EBB"/>
                <v:imagedata o:title=""/>
                <o:lock v:ext="edit"/>
              </v:line>
              <v:group id="组合 152" o:spid="_x0000_s1428" o:spt="203" style="position:absolute;left:514;top:5183;height:1133;width:8392;" coordorigin="514,5183" coordsize="8392,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o:lock v:ext="edit"/>
                <v:roundrect id="矩形: 圆角 27" o:spid="_x0000_s1429" o:spt="2" style="position:absolute;left:7259;top:5361;height:651;width:1647;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nxMAA&#10;AADcAAAADwAAAGRycy9kb3ducmV2LnhtbERPS4vCMBC+L/gfwgheRFPruxpFhILsaVfF89CMbbGZ&#10;lCZq/fdGWNjbfHzPWW9bU4kHNa60rGA0jEAQZ1aXnCs4n9LBAoTzyBory6TgRQ62m87XGhNtn/xL&#10;j6PPRQhhl6CCwvs6kdJlBRl0Q1sTB+5qG4M+wCaXusFnCDeVjKNoJg2WHBoKrGlfUHY73o0C932/&#10;pPOry+J5u4xk2t9NbPyjVK/b7lYgPLX+X/znPugwfzqGzzPhAr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TnxMAAAADcAAAADwAAAAAAAAAAAAAAAACYAgAAZHJzL2Rvd25y&#10;ZXYueG1sUEsFBgAAAAAEAAQA9QAAAIUDA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增值服务据库</w:t>
                        </w:r>
                      </w:p>
                    </w:txbxContent>
                  </v:textbox>
                </v:roundrect>
                <v:group id="组合 154" o:spid="_x0000_s1430" o:spt="203" style="position:absolute;left:514;top:5183;height:1133;width:6651;" coordorigin="514,5183" coordsize="6651,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o:lock v:ext="edit"/>
                  <v:roundrect id="矩形: 圆角 23" o:spid="_x0000_s1431" o:spt="2" style="position:absolute;left:1380;top:5353;height:651;width:1896;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aK8AA&#10;AADcAAAADwAAAGRycy9kb3ducmV2LnhtbERPTYvCMBC9C/6HMIIX0dSiq1ajiFAQT7sqnodmbIvN&#10;pDRR6783grC3ebzPWW1aU4kHNa60rGA8ikAQZ1aXnCs4n9LhHITzyBory6TgRQ42625nhYm2T/6j&#10;x9HnIoSwS1BB4X2dSOmyggy6ka2JA3e1jUEfYJNL3eAzhJtKxlH0Iw2WHBoKrGlXUHY73o0Cd7hf&#10;0tnVZfGsXUQyHWwnNv5Vqt9rt0sQnlr/L/669zrMn07h80y4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HaK8AAAADcAAAADwAAAAAAAAAAAAAAAACYAgAAZHJzL2Rvd25y&#10;ZXYueG1sUEsFBgAAAAAEAAQA9QAAAIUDA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物流基础数据库</w:t>
                          </w:r>
                        </w:p>
                      </w:txbxContent>
                    </v:textbox>
                  </v:roundrect>
                  <v:roundrect id="矩形: 圆角 26" o:spid="_x0000_s1432" o:spt="2" style="position:absolute;left:3366;top:5362;height:651;width:1852;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EXMMA&#10;AADcAAAADwAAAGRycy9kb3ducmV2LnhtbERPS2vCQBC+F/wPyxR6KWZjUGPTrCKFgPRkrXgespMH&#10;zc6G7Jqk/75bKPQ2H99z8sNsOjHS4FrLClZRDIK4tLrlWsH1s1juQDiPrLGzTAq+ycFhv3jIMdN2&#10;4g8aL74WIYRdhgoa7/tMSlc2ZNBFticOXGUHgz7AoZZ6wCmEm04mcbyVBlsODQ329NZQ+XW5GwXu&#10;/X4r0sqVSTq/xLJ4Pq5tclbq6XE+voLwNPt/8Z/7pMP8zRZ+nw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NEXMMAAADcAAAADwAAAAAAAAAAAAAAAACYAgAAZHJzL2Rv&#10;d25yZXYueG1sUEsFBgAAAAAEAAQA9QAAAIgDA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物流资源数据库</w:t>
                          </w:r>
                        </w:p>
                      </w:txbxContent>
                    </v:textbox>
                  </v:roundrect>
                  <v:roundrect id="矩形: 圆角 28" o:spid="_x0000_s1433" o:spt="2" style="position:absolute;left:5313;top:5363;height:651;width:1852;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x8IA&#10;AADcAAAADwAAAGRycy9kb3ducmV2LnhtbERPS2vCQBC+C/6HZQpepNkYqmlT1xCEQOlJY+l5yE4e&#10;NDsbsqum/75bKPQ2H99z9vlsBnGjyfWWFWyiGARxbXXPrYKPS/n4DMJ5ZI2DZVLwTQ7yw3Kxx0zb&#10;O5/pVvlWhBB2GSrovB8zKV3dkUEX2ZE4cI2dDPoAp1bqCe8h3AwyieOdNNhzaOhwpGNH9Vd1NQrc&#10;+/WzTBtXJ+n8EstyXTzZ5KTU6mEuXkF4mv2/+M/9psP8bQq/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交换共享数据库</w:t>
                          </w:r>
                        </w:p>
                      </w:txbxContent>
                    </v:textbox>
                  </v:roundrect>
                  <v:shape id="流程图: 磁盘 158" o:spid="_x0000_s1434" o:spt="132" type="#_x0000_t132" style="position:absolute;left:514;top:5183;height:1133;width:797;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3JccA&#10;AADcAAAADwAAAGRycy9kb3ducmV2LnhtbESPQUvDQBCF74L/YRnBW7uxYpHYbRGLqFAoxvaQ25id&#10;JtHsbNhd0/Tfdw4FbzO8N+99s1iNrlMDhdh6NnA3zUARV962XBvYfb1OHkHFhGyx80wGThRhtby+&#10;WmBu/ZE/aShSrSSEY44GmpT6XOtYNeQwTn1PLNrBB4dJ1lBrG/Ao4a7Tsyyba4ctS0ODPb00VP0W&#10;f87Ad7kp9mn7s7dvtDuEj6G8X59KY25vxucnUInG9G++XL9bwX8QWnlGJt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dyXHAAAA3AAAAA8AAAAAAAAAAAAAAAAAmAIAAGRy&#10;cy9kb3ducmV2LnhtbFBLBQYAAAAABAAEAPUAAACMAwAAAAA=&#10;">
                    <v:path/>
                    <v:fill on="f" focussize="0,0"/>
                    <v:stroke weight="2pt" color="#385D8A"/>
                    <v:imagedata o:title=""/>
                    <o:lock v:ext="edit"/>
                    <v:textbox>
                      <w:txbxContent>
                        <w:p>
                          <w:pPr>
                            <w:pStyle w:val="14"/>
                            <w:spacing w:before="0" w:beforeAutospacing="0" w:after="0" w:afterAutospacing="0"/>
                            <w:jc w:val="center"/>
                          </w:pPr>
                          <w:r>
                            <w:rPr>
                              <w:rFonts w:hint="eastAsia" w:ascii="Calibri" w:cs="Times New Roman"/>
                              <w:color w:val="000000"/>
                              <w:kern w:val="2"/>
                              <w:sz w:val="21"/>
                              <w:szCs w:val="21"/>
                            </w:rPr>
                            <w:t>数据</w:t>
                          </w:r>
                        </w:p>
                      </w:txbxContent>
                    </v:textbox>
                  </v:shape>
                </v:group>
              </v:group>
              <v:group id="组合 159" o:spid="_x0000_s1435" o:spt="203" style="position:absolute;left:804;top:2060;height:2663;width:4167;" coordorigin="804,2060" coordsize="4167,2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o:lock v:ext="edit"/>
                <v:roundrect id="矩形: 圆角 10" o:spid="_x0000_s1436" o:spt="2" style="position:absolute;left:1508;top:2060;height:600;width:3051;v-text-anchor:middle;" filled="f" stroked="f"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aDN8QA&#10;AADcAAAADwAAAGRycy9kb3ducmV2LnhtbESPQUsDQQyF70L/wxDBm521h6Jrp6UUBC8KtiJ4izvp&#10;7NKdzHYmtqu/3hyE3hLey3tfFqsx9uZEuXSJHdxNKzDETfIdBwfvu6fbezBFkD32icnBDxVYLSdX&#10;C6x9OvMbnbYSjIZwqdFBKzLU1pampYhlmgZi1fYpRxRdc7A+41nDY29nVTW3ETvWhhYH2rTUHLbf&#10;0UE47sMorwec/X7Fj88hykO2L87dXI/rRzBCo1zM/9fPXvHniq/P6AR2+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gzfEAAAA3AAAAA8AAAAAAAAAAAAAAAAAmAIAAGRycy9k&#10;b3ducmV2LnhtbFBLBQYAAAAABAAEAPUAAACJAwAAAAA=&#10;">
                  <v:path/>
                  <v:fill on="f" focussize="0,0"/>
                  <v:stroke on="f" weight="1pt"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智慧物流信息管理模块</w:t>
                        </w:r>
                      </w:p>
                    </w:txbxContent>
                  </v:textbox>
                </v:roundrect>
                <v:roundrect id="矩形: 圆角 11" o:spid="_x0000_s1437" o:spt="2" style="position:absolute;left:917;top:2797;height:650;width:1954;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WlcIA&#10;AADcAAAADwAAAGRycy9kb3ducmV2LnhtbERPS2vCQBC+C/6HZQQvopuEojXNKkEIlJ6qLT0Pu5MH&#10;zc6G7Krpv+8WCt7m43tOcZxsL240+s6xgnSTgCDWznTcKPj8qNbPIHxANtg7JgU/5OF4mM8KzI27&#10;85lul9CIGMI+RwVtCEMupdctWfQbNxBHrnajxRDh2Egz4j2G215mSbKVFjuODS0OdGpJf1+uVoF/&#10;u35Vu9rrbDftE1mtyieXvSu1XEzlC4hAU3iI/92vJs7fpvD3TL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haV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农产品管理系统</w:t>
                        </w:r>
                      </w:p>
                    </w:txbxContent>
                  </v:textbox>
                </v:roundrect>
                <v:roundrect id="矩形: 圆角 12" o:spid="_x0000_s1438" o:spt="2" style="position:absolute;left:2991;top:2771;height:650;width:1860;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I4sIA&#10;AADcAAAADwAAAGRycy9kb3ducmV2LnhtbERPS2vCQBC+C/0Pywi9iG4aio/oJkghUDz5KD0P2TEJ&#10;ZmdDdk3Sf+8WBG/z8T1nl42mET11rras4GMRgSAurK65VPBzyedrEM4ja2wsk4I/cpClb5MdJtoO&#10;fKL+7EsRQtglqKDyvk2kdEVFBt3CtsSBu9rOoA+wK6XucAjhppFxFC2lwZpDQ4UtfVVU3M53o8Ad&#10;7r/56uqKeDVuIpnP9p82Pir1Ph33WxCeRv8SP93fOsxfxvD/TLh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Iji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配送管理系统</w:t>
                        </w:r>
                      </w:p>
                    </w:txbxContent>
                  </v:textbox>
                </v:roundrect>
                <v:roundrect id="矩形: 圆角 13" o:spid="_x0000_s1439" o:spt="2" style="position:absolute;left:865;top:3825;height:650;width:1809;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tecMA&#10;AADcAAAADwAAAGRycy9kb3ducmV2LnhtbERPS2vCQBC+F/wPyxR6KWZjFGPTrCKFgPRkrXgespMH&#10;zc6G7Jqk/75bKPQ2H99z8sNsOjHS4FrLClZRDIK4tLrlWsH1s1juQDiPrLGzTAq+ycFhv3jIMdN2&#10;4g8aL74WIYRdhgoa7/tMSlc2ZNBFticOXGUHgz7AoZZ6wCmEm04mcbyVBlsODQ329NZQ+XW5GwXu&#10;/X4r0sqVSTq/xLJ4Pm5sclbq6XE+voLwNPt/8Z/7pMP87Rp+nw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tecMAAADcAAAADwAAAAAAAAAAAAAAAACYAgAAZHJzL2Rv&#10;d25yZXYueG1sUEsFBgAAAAAEAAQA9QAAAIgDA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交易管理系统</w:t>
                        </w:r>
                      </w:p>
                    </w:txbxContent>
                  </v:textbox>
                </v:roundrect>
                <v:roundrect id="矩形: 圆角 14" o:spid="_x0000_s1440" o:spt="2" style="position:absolute;left:3101;top:3834;height:650;width:1697;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1DcIA&#10;AADcAAAADwAAAGRycy9kb3ducmV2LnhtbERPS2vCQBC+F/wPywheim4M4iN1lSAESk9tFM/D7piE&#10;ZmdDdqPx33cLhd7m43vO/jjaVtyp941jBctFAoJYO9NwpeByLuZbED4gG2wdk4IneTgeJi97zIx7&#10;8Bfdy1CJGMI+QwV1CF0mpdc1WfQL1xFH7uZ6iyHCvpKmx0cMt61Mk2QtLTYcG2rs6FST/i4Hq8B/&#10;DNdic/M63Yy7RBav+cqln0rNpmP+BiLQGP7Ff+53E+evV/D7TLx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bUN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仓储管理系统</w:t>
                        </w:r>
                      </w:p>
                    </w:txbxContent>
                  </v:textbox>
                </v:roundrect>
                <v:rect id="矩形 166" o:spid="_x0000_s1441" o:spt="1" style="position:absolute;left:804;top:2065;height:2658;width:4167;"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9MAA&#10;AADcAAAADwAAAGRycy9kb3ducmV2LnhtbERPTYvCMBC9L/gfwgheFk310JVqFBEUxYNs68Xb0Ixt&#10;sZmUJmr990YQvM3jfc582Zla3Kl1lWUF41EEgji3uuJCwSnbDKcgnEfWWFsmBU9ysFz0fuaYaPvg&#10;f7qnvhAhhF2CCkrvm0RKl5dk0I1sQxy4i20N+gDbQuoWHyHc1HISRbE0WHFoKLGhdUn5Nb0ZBTHT&#10;9mB/XfS38ues43VzTKu9UoN+t5qB8NT5r/jj3ukwP47h/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a+9MAAAADcAAAADwAAAAAAAAAAAAAAAACYAgAAZHJzL2Rvd25y&#10;ZXYueG1sUEsFBgAAAAAEAAQA9QAAAIUDAAAAAA==&#10;">
                  <v:path/>
                  <v:fill on="f" focussize="0,0"/>
                  <v:stroke weight="2pt" color="#385D8A"/>
                  <v:imagedata o:title=""/>
                  <o:lock v:ext="edit"/>
                </v:rect>
                <v:line id="直接连接符 167" o:spid="_x0000_s1442" o:spt="20" style="position:absolute;left:1731;top:3608;height:0;width:2245;"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QZcEAAADcAAAADwAAAGRycy9kb3ducmV2LnhtbERPzWoCMRC+C32HMAVvmq3IWrZGKQVB&#10;6kFd+wDTzbhZupmsSarr2xtB8DYf3+/Ml71txZl8aBwreBtnIIgrpxuuFfwcVqN3ECEia2wdk4Ir&#10;BVguXgZzLLS78J7OZaxFCuFQoAITY1dIGSpDFsPYdcSJOzpvMSboa6k9XlK4beUky3JpseHUYLCj&#10;L0PVX/lvFdSzXc7y91Qd3WS7/t4YZ/11qtTwtf/8ABGpj0/xw73WaX4+g/sz6QK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uhBlwQAAANwAAAAPAAAAAAAAAAAAAAAA&#10;AKECAABkcnMvZG93bnJldi54bWxQSwUGAAAAAAQABAD5AAAAjwMAAAAA&#10;">
                  <v:path arrowok="t"/>
                  <v:fill focussize="0,0"/>
                  <v:stroke weight="2pt" color="#385D8A" dashstyle="longDash"/>
                  <v:imagedata o:title=""/>
                  <o:lock v:ext="edit"/>
                </v:line>
              </v:group>
              <v:group id="组合 168" o:spid="_x0000_s1443" o:spt="203" style="position:absolute;left:711;top:6604;height:2545;width:7740;" coordorigin="711,6604" coordsize="7740,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o:lock v:ext="edit"/>
                <v:roundrect id="矩形: 圆角 19" o:spid="_x0000_s1444" o:spt="2" style="position:absolute;left:5236;top:7512;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ak8EA&#10;AADcAAAADwAAAGRycy9kb3ducmV2LnhtbERPS4vCMBC+C/6HMIIXsall8VGNIkJB9uR2F89DM31g&#10;MylN1PrvNwvC3ubje87uMJhWPKh3jWUFiygGQVxY3XCl4Oc7m69BOI+ssbVMCl7k4LAfj3aYavvk&#10;L3rkvhIhhF2KCmrvu1RKV9Rk0EW2Iw5caXuDPsC+krrHZwg3rUzieCkNNhwaauzoVFNxy+9Ggfu8&#10;X7NV6YpkNWximc2OHza5KDWdDMctCE+D/xe/3Wcd5i838PdMuE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AGpPBAAAA3AAAAA8AAAAAAAAAAAAAAAAAmAIAAGRycy9kb3du&#10;cmV2LnhtbFBLBQYAAAAABAAEAPUAAACGAwAAAAA=&#10;">
                  <v:path/>
                  <v:fill on="f" focussize="0,0"/>
                  <v:stroke weight="1pt" color="#2F528F" joinstyle="miter"/>
                  <v:imagedata o:title=""/>
                  <o:lock v:ext="edit"/>
                  <v:textbox>
                    <w:txbxContent>
                      <w:p>
                        <w:pPr>
                          <w:pStyle w:val="14"/>
                          <w:spacing w:before="0" w:beforeAutospacing="0" w:after="0" w:afterAutospacing="0"/>
                          <w:jc w:val="center"/>
                        </w:pPr>
                        <w:r>
                          <w:rPr>
                            <w:rFonts w:ascii="Calibri" w:hAnsi="Calibri" w:cs="Times New Roman"/>
                            <w:kern w:val="2"/>
                            <w:sz w:val="21"/>
                            <w:szCs w:val="21"/>
                          </w:rPr>
                          <w:t>GIS</w:t>
                        </w:r>
                      </w:p>
                    </w:txbxContent>
                  </v:textbox>
                </v:roundrect>
                <v:roundrect id="矩形: 圆角 20" o:spid="_x0000_s1445" o:spt="2" style="position:absolute;left:6890;top:6621;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l08QA&#10;AADcAAAADwAAAGRycy9kb3ducmV2LnhtbESPQWvCQBCF74L/YZlCL6IbQzE2zUakECg9tSqeh+yY&#10;hGZnQ3bV9N93DgVvM7w3731T7CbXqxuNofNsYL1KQBHX3nbcGDgdq+UWVIjIFnvPZOCXAuzK+azA&#10;3Po7f9PtEBslIRxyNNDGOORah7olh2HlB2LRLn50GGUdG21HvEu463WaJBvtsGNpaHGg95bqn8PV&#10;GQif13OVXUKdZtNroqvF/sWnX8Y8P037N1CRpvgw/19/WMHPBF+ekQl0+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JdPEAAAA3AAAAA8AAAAAAAAAAAAAAAAAmAIAAGRycy9k&#10;b3ducmV2LnhtbFBLBQYAAAAABAAEAPUAAACJAw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无线网络</w:t>
                        </w:r>
                      </w:p>
                    </w:txbxContent>
                  </v:textbox>
                </v:roundrect>
                <v:roundrect id="矩形: 圆角 29" o:spid="_x0000_s1446" o:spt="2" style="position:absolute;left:1782;top:6629;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SMIA&#10;AADcAAAADwAAAGRycy9kb3ducmV2LnhtbERPS0vDQBC+F/oflhF6KXbTII3GbEIpBMSTbcXzkJ08&#10;MDsbsps0/feuIHibj+85WbGYXsw0us6ygv0uAkFcWd1xo+DzWj4+g3AeWWNvmRTcyUGRr1cZptre&#10;+EzzxTcihLBLUUHr/ZBK6aqWDLqdHYgDV9vRoA9wbKQe8RbCTS/jKDpIgx2HhhYHOrVUfV8mo8C9&#10;T19lUrsqTpaXSJbb45ONP5TaPCzHVxCeFv8v/nO/6TA/2cP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4BI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专用网络</w:t>
                        </w:r>
                      </w:p>
                    </w:txbxContent>
                  </v:textbox>
                </v:roundrect>
                <v:roundrect id="矩形: 圆角 30" o:spid="_x0000_s1447" o:spt="2" style="position:absolute;left:5235;top:6639;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eP8IA&#10;AADcAAAADwAAAGRycy9kb3ducmV2LnhtbERPTWvCQBC9F/oflin0UszGIE1NXSUIAfFko/Q8ZMck&#10;NDsbshtN/70rCN7m8T5ntZlMJy40uNaygnkUgyCurG65VnA6FrMvEM4ja+wsk4J/crBZv76sMNP2&#10;yj90KX0tQgi7DBU03veZlK5qyKCLbE8cuLMdDPoAh1rqAa8h3HQyieNPabDl0NBgT9uGqr9yNArc&#10;fvwt0rOrknRaxrL4yBc2OSj1/jbl3yA8Tf4pfrh3OsxPE7g/Ey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R4/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移动网络</w:t>
                        </w:r>
                      </w:p>
                    </w:txbxContent>
                  </v:textbox>
                </v:roundrect>
                <v:roundrect id="矩形: 圆角 32" o:spid="_x0000_s1448" o:spt="2" style="position:absolute;left:3496;top:6604;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7pMIA&#10;AADcAAAADwAAAGRycy9kb3ducmV2LnhtbERPS2vCQBC+C/6HZQpepNmYimlT1xCEQOlJY+l5yE4e&#10;NDsbsqum/75bKPQ2H99z9vlsBnGjyfWWFWyiGARxbXXPrYKPS/n4DMJ5ZI2DZVLwTQ7yw3Kxx0zb&#10;O5/pVvlWhBB2GSrovB8zKV3dkUEX2ZE4cI2dDPoAp1bqCe8h3AwyieOdNNhzaOhwpGNH9Vd1NQrc&#10;+/WzTBtXJ+n8EstyXWxtclJq9TAXryA8zf5f/Od+02F++gS/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cbuk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互联网</w:t>
                        </w:r>
                      </w:p>
                    </w:txbxContent>
                  </v:textbox>
                </v:roundrect>
                <v:roundrect id="矩形: 圆角 33" o:spid="_x0000_s1449" o:spt="2" style="position:absolute;left:3540;top:7555;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j0MEA&#10;AADcAAAADwAAAGRycy9kb3ducmV2LnhtbERPS4vCMBC+L/gfwizsZVlTi9i1NoosFMSTLzwPzfTB&#10;NpPSRK3/3giCt/n4npOtBtOKK/WusaxgMo5AEBdWN1wpOB3zn18QziNrbC2Tgjs5WC1HHxmm2t54&#10;T9eDr0QIYZeigtr7LpXSFTUZdGPbEQeutL1BH2BfSd3jLYSbVsZRNJMGGw4NNXb0V1Pxf7gYBW57&#10;OedJ6Yo4GeaRzL/XUxvvlPr6HNYLEJ4G/xa/3Bsd5idT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YI9DBAAAA3AAAAA8AAAAAAAAAAAAAAAAAmAIAAGRycy9kb3du&#10;cmV2LnhtbFBLBQYAAAAABAAEAPUAAACGAwAAAAA=&#10;">
                  <v:path/>
                  <v:fill on="f" focussize="0,0"/>
                  <v:stroke weight="1pt" color="#2F528F" joinstyle="miter"/>
                  <v:imagedata o:title=""/>
                  <o:lock v:ext="edit"/>
                  <v:textbox>
                    <w:txbxContent>
                      <w:p>
                        <w:pPr>
                          <w:pStyle w:val="14"/>
                          <w:spacing w:before="0" w:beforeAutospacing="0" w:after="0" w:afterAutospacing="0"/>
                          <w:jc w:val="center"/>
                        </w:pPr>
                        <w:r>
                          <w:rPr>
                            <w:rFonts w:ascii="Calibri" w:hAnsi="Calibri" w:cs="Times New Roman"/>
                            <w:kern w:val="2"/>
                            <w:sz w:val="21"/>
                            <w:szCs w:val="21"/>
                          </w:rPr>
                          <w:t>GPS</w:t>
                        </w:r>
                      </w:p>
                    </w:txbxContent>
                  </v:textbox>
                </v:roundrect>
                <v:roundrect id="矩形: 圆角 34" o:spid="_x0000_s1450" o:spt="2" style="position:absolute;left:1790;top:7512;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GS8IA&#10;AADcAAAADwAAAGRycy9kb3ducmV2LnhtbERPS2vCQBC+C/6HZQpepNkYqmlT1xCEQOlJY+l5yE4e&#10;NDsbsqum/75bKPQ2H99z9vlsBnGjyfWWFWyiGARxbXXPrYKPS/n4DMJ5ZI2DZVLwTQ7yw3Kxx0zb&#10;O5/pVvlWhBB2GSrovB8zKV3dkUEX2ZE4cI2dDPoAp1bqCe8h3AwyieOdNNhzaOhwpGNH9Vd1NQrc&#10;+/WzTBtXJ+n8EstyXTzZ5KTU6mEuXkF4mv2/+M/9psP8dAu/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IZL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电子标签</w:t>
                        </w:r>
                      </w:p>
                    </w:txbxContent>
                  </v:textbox>
                </v:roundrect>
                <v:roundrect id="矩形: 圆角 33" o:spid="_x0000_s1451" o:spt="2" style="position:absolute;left:6926;top:7495;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YPMEA&#10;AADcAAAADwAAAGRycy9kb3ducmV2LnhtbERPS4vCMBC+C/6HMAt7kTW1iF1ro8hCQfbkC89DM32w&#10;zaQ0Ueu/3wiCt/n4npNtBtOKG/WusaxgNo1AEBdWN1wpOJ/yr28QziNrbC2Tggc52KzHowxTbe98&#10;oNvRVyKEsEtRQe19l0rpipoMuqntiANX2t6gD7CvpO7xHsJNK+MoWkiDDYeGGjv6qan4O16NAvd7&#10;veRJ6Yo4GZaRzCfbuY33Sn1+DNsVCE+Df4tf7p0O85MFPJ8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GGDzBAAAA3AAAAA8AAAAAAAAAAAAAAAAAmAIAAGRycy9kb3du&#10;cmV2LnhtbFBLBQYAAAAABAAEAPUAAACGAw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中间件</w:t>
                        </w:r>
                      </w:p>
                    </w:txbxContent>
                  </v:textbox>
                </v:roundrect>
                <v:roundrect id="矩形: 圆角 33" o:spid="_x0000_s1452" o:spt="2" style="position:absolute;left:1834;top:8490;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9p8EA&#10;AADcAAAADwAAAGRycy9kb3ducmV2LnhtbERPS4vCMBC+C/6HMIIX0dSyWK2NIkJB9rS6i+ehmT6w&#10;mZQmav33ZmFhb/PxPSfbD6YVD+pdY1nBchGBIC6sbrhS8POdz9cgnEfW2FomBS9ysN+NRxmm2j75&#10;TI+Lr0QIYZeigtr7LpXSFTUZdAvbEQeutL1BH2BfSd3jM4SbVsZRtJIGGw4NNXZ0rKm4Xe5Ggfu8&#10;X/OkdEWcDJtI5rPDh42/lJpOhsMWhKfB/4v/3Ccd5icJ/D4TLp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KvafBAAAA3AAAAA8AAAAAAAAAAAAAAAAAmAIAAGRycy9kb3du&#10;cmV2LnhtbFBLBQYAAAAABAAEAPUAAACGAw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标签读写器</w:t>
                        </w:r>
                      </w:p>
                    </w:txbxContent>
                  </v:textbox>
                </v:roundrect>
                <v:roundrect id="矩形: 圆角 33" o:spid="_x0000_s1453" o:spt="2" style="position:absolute;left:3582;top:8489;height:651;width:1490;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p1cQA&#10;AADcAAAADwAAAGRycy9kb3ducmV2LnhtbESPQWvCQBCF74L/YZlCL6IbQzE2zUakECg9tSqeh+yY&#10;hGZnQ3bV9N93DgVvM7w3731T7CbXqxuNofNsYL1KQBHX3nbcGDgdq+UWVIjIFnvPZOCXAuzK+azA&#10;3Po7f9PtEBslIRxyNNDGOORah7olh2HlB2LRLn50GGUdG21HvEu463WaJBvtsGNpaHGg95bqn8PV&#10;GQif13OVXUKdZtNroqvF/sWnX8Y8P037N1CRpvgw/19/WMHPhFaekQl0+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KdXEAAAA3AAAAA8AAAAAAAAAAAAAAAAAmAIAAGRycy9k&#10;b3ducmV2LnhtbFBLBQYAAAAABAAEAPUAAACJAw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传感器</w:t>
                        </w:r>
                      </w:p>
                    </w:txbxContent>
                  </v:textbox>
                </v:roundrect>
                <v:roundrect id="矩形: 圆角 33" o:spid="_x0000_s1454" o:spt="2" style="position:absolute;left:5322;top:8498;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MTsIA&#10;AADcAAAADwAAAGRycy9kb3ducmV2LnhtbERPS0vDQBC+F/wPywheitkYpDGx2xCEQPFk09LzkJ08&#10;MDsbsts2/vuuIHibj+8522Ixo7jS7AbLCl6iGARxY/XAnYLTsXp+A+E8ssbRMin4IQfF7mG1xVzb&#10;Gx/oWvtOhBB2OSrovZ9yKV3Tk0EX2Yk4cK2dDfoA507qGW8h3IwyieONNDhwaOhxoo+emu/6YhS4&#10;z8u5SlvXJOmSxbJal682+VLq6XEp30F4Wvy/+M+912F+msHvM+EC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YxO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ascii="Calibri" w:hAnsi="Calibri" w:cs="Times New Roman"/>
                            <w:kern w:val="2"/>
                            <w:sz w:val="21"/>
                            <w:szCs w:val="21"/>
                          </w:rPr>
                          <w:t>EPC编码</w:t>
                        </w:r>
                      </w:p>
                    </w:txbxContent>
                  </v:textbox>
                </v:roundrect>
                <v:roundrect id="矩形: 圆角 33" o:spid="_x0000_s1455" o:spt="2" style="position:absolute;left:6968;top:8447;height:651;width:148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V9MUA&#10;AADcAAAADwAAAGRycy9kb3ducmV2LnhtbESPzWrDQAyE74W+w6JCL6FZ14QkdbMJpmAoObVJ6Fl4&#10;FdvUqzXe9U/fPjoEepOY0cyn3WF2rRqpD41nA6/LBBRx6W3DlYHLuXjZggoR2WLrmQz8UYDD/vFh&#10;h5n1E3/TeIqVkhAOGRqoY+wyrUNZk8Ow9B2xaFffO4yy9pW2PU4S7lqdJslaO2xYGmrs6KOm8vc0&#10;OAPhOPwUm2so0838luhika98+mXM89Ocv4OKNMd/8/360wr+VvDlGZlA7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lX0xQAAANwAAAAPAAAAAAAAAAAAAAAAAJgCAABkcnMv&#10;ZG93bnJldi54bWxQSwUGAAAAAAQABAD1AAAAig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摄像机</w:t>
                        </w:r>
                      </w:p>
                    </w:txbxContent>
                  </v:textbox>
                </v:roundrect>
                <v:rect id="矩形 181" o:spid="_x0000_s1456" o:spt="1" style="position:absolute;left:840;top:7658;height:1269;width:754;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oicIA&#10;AADcAAAADwAAAGRycy9kb3ducmV2LnhtbERPPW/CMBDdK/U/WFeJrTgURCHFoAJCdIWydDvFR2KI&#10;zyE2IfDrcSUktnt6nzeZtbYUDdXeOFbQ6yYgiDOnDecKdr+r9xEIH5A1lo5JwZU8zKavLxNMtbvw&#10;hpptyEUMYZ+igiKEKpXSZwVZ9F1XEUdu72qLIcI6l7rGSwy3pfxIkqG0aDg2FFjRoqDsuD1bBXtj&#10;+s3OrttB9vd5mI/Ht9PKLZXqvLXfXyACteEpfrh/dJw/6s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6iJwgAAANwAAAAPAAAAAAAAAAAAAAAAAJgCAABkcnMvZG93&#10;bnJldi54bWxQSwUGAAAAAAQABAD1AAAAhwMAAAAA&#10;">
                  <v:path/>
                  <v:fill on="f" focussize="0,0"/>
                  <v:stroke weight="2pt" color="#385D8A"/>
                  <v:imagedata o:title=""/>
                  <o:lock v:ext="edit"/>
                  <v:textbox>
                    <w:txbxContent>
                      <w:p>
                        <w:pPr>
                          <w:pStyle w:val="14"/>
                          <w:spacing w:before="0" w:beforeAutospacing="0" w:after="0" w:afterAutospacing="0"/>
                          <w:jc w:val="center"/>
                        </w:pPr>
                        <w:r>
                          <w:rPr>
                            <w:rFonts w:hint="eastAsia" w:ascii="Calibri" w:cs="Times New Roman"/>
                            <w:color w:val="000000"/>
                            <w:kern w:val="2"/>
                            <w:sz w:val="21"/>
                            <w:szCs w:val="21"/>
                          </w:rPr>
                          <w:t>感知设施</w:t>
                        </w:r>
                      </w:p>
                    </w:txbxContent>
                  </v:textbox>
                </v:rect>
                <v:rect id="矩形 182" o:spid="_x0000_s1457" o:spt="1" style="position:absolute;left:711;top:6612;height:772;width:917;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2/sMA&#10;AADcAAAADwAAAGRycy9kb3ducmV2LnhtbERPPW/CMBDdK/U/WFeJrTgFVCDEoBaE6FpgYTvFl8QQ&#10;n9PYhLS/Hleq1O2e3udlq97WoqPWG8cKXoYJCOLcacOlguNh+zwD4QOyxtoxKfgmD6vl40OGqXY3&#10;/qRuH0oRQ9inqKAKoUml9HlFFv3QNcSRK1xrMUTYllK3eIvhtpajJHmVFg3HhgobWleUX/ZXq6Aw&#10;Ztwd7a6f5Kfp+X0+//nauo1Sg6f+bQEiUB/+xX/uDx3nz0b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k2/sMAAADcAAAADwAAAAAAAAAAAAAAAACYAgAAZHJzL2Rv&#10;d25yZXYueG1sUEsFBgAAAAAEAAQA9QAAAIgDAAAAAA==&#10;">
                  <v:path/>
                  <v:fill on="f" focussize="0,0"/>
                  <v:stroke weight="2pt" color="#385D8A"/>
                  <v:imagedata o:title=""/>
                  <o:lock v:ext="edit"/>
                  <v:textbox>
                    <w:txbxContent>
                      <w:p>
                        <w:pPr>
                          <w:pStyle w:val="14"/>
                          <w:spacing w:before="0" w:beforeAutospacing="0" w:after="0" w:afterAutospacing="0"/>
                          <w:jc w:val="center"/>
                        </w:pPr>
                        <w:r>
                          <w:rPr>
                            <w:rFonts w:hint="eastAsia" w:ascii="Calibri" w:cs="Times New Roman"/>
                            <w:color w:val="000000"/>
                            <w:kern w:val="2"/>
                            <w:sz w:val="21"/>
                            <w:szCs w:val="21"/>
                          </w:rPr>
                          <w:t>网络</w:t>
                        </w:r>
                      </w:p>
                      <w:p>
                        <w:pPr>
                          <w:pStyle w:val="14"/>
                          <w:spacing w:before="0" w:beforeAutospacing="0" w:after="0" w:afterAutospacing="0"/>
                          <w:jc w:val="center"/>
                        </w:pPr>
                        <w:r>
                          <w:rPr>
                            <w:rFonts w:hint="eastAsia" w:ascii="Calibri" w:cs="Times New Roman"/>
                            <w:color w:val="000000"/>
                            <w:kern w:val="2"/>
                            <w:sz w:val="21"/>
                            <w:szCs w:val="21"/>
                          </w:rPr>
                          <w:t>设施</w:t>
                        </w:r>
                      </w:p>
                    </w:txbxContent>
                  </v:textbox>
                </v:rect>
              </v:group>
              <v:rect id="矩形 183" o:spid="_x0000_s1458" o:spt="1" style="position:absolute;left:195;top:0;height:1706;width:729;v-text-anchor:middl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67MIA&#10;AADcAAAADwAAAGRycy9kb3ducmV2LnhtbERPTYvCMBC9L/gfwgje1tSVXaQaRQqLiidbDx6HZmyK&#10;zaQ00Xb3128EYW/zeJ+z2gy2EQ/qfO1YwWyagCAuna65UnAuvt8XIHxA1tg4JgU/5GGzHr2tMNWu&#10;5xM98lCJGMI+RQUmhDaV0peGLPqpa4kjd3WdxRBhV0ndYR/DbSM/kuRLWqw5NhhsKTNU3vK7VXAY&#10;isshO37ee3vcnbIqL35NXyg1GQ/bJYhAQ/gXv9x7Hecv5vB8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3rswgAAANwAAAAPAAAAAAAAAAAAAAAAAJgCAABkcnMvZG93&#10;bnJldi54bWxQSwUGAAAAAAQABAD1AAAAhwMAAAAA&#10;">
                <v:path/>
                <v:fill on="f" focussize="0,0"/>
                <v:stroke on="f" weight="2pt"/>
                <v:imagedata o:title=""/>
                <o:lock v:ext="edit"/>
                <v:textbox style="layout-flow:vertical-ideographic;">
                  <w:txbxContent>
                    <w:p>
                      <w:pPr>
                        <w:pStyle w:val="14"/>
                        <w:spacing w:before="0" w:beforeAutospacing="0" w:after="0" w:afterAutospacing="0"/>
                        <w:jc w:val="center"/>
                      </w:pPr>
                      <w:r>
                        <w:rPr>
                          <w:rFonts w:hint="eastAsia" w:ascii="Calibri" w:cs="Times New Roman"/>
                          <w:b/>
                          <w:bCs/>
                          <w:color w:val="000000"/>
                          <w:kern w:val="2"/>
                        </w:rPr>
                        <w:t>用户展示层</w:t>
                      </w:r>
                    </w:p>
                  </w:txbxContent>
                </v:textbox>
              </v:rect>
              <v:rect id="矩形 184" o:spid="_x0000_s1459" o:spt="1" style="position:absolute;left:76;top:2526;height:1706;width:729;v-text-anchor:middl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imMIA&#10;AADcAAAADwAAAGRycy9kb3ducmV2LnhtbERPTYvCMBC9L/gfwgje1tTFXaQaRQqLiidbDx6HZmyK&#10;zaQ00Xb3128EYW/zeJ+z2gy2EQ/qfO1YwWyagCAuna65UnAuvt8XIHxA1tg4JgU/5GGzHr2tMNWu&#10;5xM98lCJGMI+RQUmhDaV0peGLPqpa4kjd3WdxRBhV0ndYR/DbSM/kuRLWqw5NhhsKTNU3vK7VXAY&#10;isshO37ee3vcnbIqL35NXyg1GQ/bJYhAQ/gXv9x7Hecv5vB8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uKYwgAAANwAAAAPAAAAAAAAAAAAAAAAAJgCAABkcnMvZG93&#10;bnJldi54bWxQSwUGAAAAAAQABAD1AAAAhwMAAAAA&#10;">
                <v:path/>
                <v:fill on="f" focussize="0,0"/>
                <v:stroke on="f" weight="2pt"/>
                <v:imagedata o:title=""/>
                <o:lock v:ext="edit"/>
                <v:textbox style="layout-flow:vertical-ideographic;">
                  <w:txbxContent>
                    <w:p>
                      <w:pPr>
                        <w:pStyle w:val="14"/>
                        <w:spacing w:before="0" w:beforeAutospacing="0" w:after="0" w:afterAutospacing="0"/>
                        <w:jc w:val="center"/>
                      </w:pPr>
                      <w:r>
                        <w:rPr>
                          <w:rFonts w:hint="eastAsia" w:ascii="Calibri" w:cs="Times New Roman"/>
                          <w:b/>
                          <w:bCs/>
                          <w:color w:val="000000"/>
                          <w:kern w:val="2"/>
                        </w:rPr>
                        <w:t>应用服务层</w:t>
                      </w:r>
                    </w:p>
                  </w:txbxContent>
                </v:textbox>
              </v:rect>
              <v:rect id="矩形 185" o:spid="_x0000_s1460" o:spt="1" style="position:absolute;left:0;top:4844;height:1706;width:729;v-text-anchor:middl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HA8EA&#10;AADcAAAADwAAAGRycy9kb3ducmV2LnhtbERPTYvCMBC9C/sfwizsTVMFRapRpCAqnmw9eBya2aZs&#10;MylNtF1/vREW9jaP9znr7WAb8aDO144VTCcJCOLS6ZorBddiP16C8AFZY+OYFPySh+3mY7TGVLue&#10;L/TIQyViCPsUFZgQ2lRKXxqy6CeuJY7ct+sshgi7SuoO+xhuGzlLkoW0WHNsMNhSZqj8ye9WwWko&#10;bqfsPL/39ny4ZFVePE1fKPX1OexWIAIN4V/85z7qOH85h/cz8QK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6RwPBAAAA3AAAAA8AAAAAAAAAAAAAAAAAmAIAAGRycy9kb3du&#10;cmV2LnhtbFBLBQYAAAAABAAEAPUAAACGAwAAAAA=&#10;">
                <v:path/>
                <v:fill on="f" focussize="0,0"/>
                <v:stroke on="f" weight="2pt"/>
                <v:imagedata o:title=""/>
                <o:lock v:ext="edit"/>
                <v:textbox style="layout-flow:vertical-ideographic;">
                  <w:txbxContent>
                    <w:p>
                      <w:pPr>
                        <w:pStyle w:val="14"/>
                        <w:spacing w:before="0" w:beforeAutospacing="0" w:after="0" w:afterAutospacing="0"/>
                        <w:jc w:val="center"/>
                      </w:pPr>
                      <w:r>
                        <w:rPr>
                          <w:rFonts w:hint="eastAsia" w:ascii="Calibri" w:cs="Times New Roman"/>
                          <w:b/>
                          <w:bCs/>
                          <w:color w:val="000000"/>
                          <w:kern w:val="2"/>
                        </w:rPr>
                        <w:t>数据库层</w:t>
                      </w:r>
                    </w:p>
                  </w:txbxContent>
                </v:textbox>
              </v:rect>
              <v:rect id="矩形 186" o:spid="_x0000_s1461" o:spt="1" style="position:absolute;left:42;top:6994;height:1706;width:729;v-text-anchor:middl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ZdMEA&#10;AADcAAAADwAAAGRycy9kb3ducmV2LnhtbERPTYvCMBC9C/6HMMLeNHVBkWoUKYgrnmw9eByasSk2&#10;k9JEW/fXbxYW9jaP9zmb3WAb8aLO144VzGcJCOLS6ZorBdfiMF2B8AFZY+OYFLzJw247Hm0w1a7n&#10;C73yUIkYwj5FBSaENpXSl4Ys+plriSN3d53FEGFXSd1hH8NtIz+TZCkt1hwbDLaUGSof+dMqOA3F&#10;7ZSdF8/eno+XrMqLb9MXSn1Mhv0aRKAh/Iv/3F86zl8t4feZe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o2XTBAAAA3AAAAA8AAAAAAAAAAAAAAAAAmAIAAGRycy9kb3du&#10;cmV2LnhtbFBLBQYAAAAABAAEAPUAAACGAwAAAAA=&#10;">
                <v:path/>
                <v:fill on="f" focussize="0,0"/>
                <v:stroke on="f" weight="2pt"/>
                <v:imagedata o:title=""/>
                <o:lock v:ext="edit"/>
                <v:textbox style="layout-flow:vertical-ideographic;">
                  <w:txbxContent>
                    <w:p>
                      <w:pPr>
                        <w:pStyle w:val="14"/>
                        <w:spacing w:before="0" w:beforeAutospacing="0" w:after="0" w:afterAutospacing="0"/>
                        <w:jc w:val="center"/>
                      </w:pPr>
                      <w:r>
                        <w:rPr>
                          <w:rFonts w:hint="eastAsia" w:ascii="Calibri" w:cs="Times New Roman"/>
                          <w:b/>
                          <w:bCs/>
                          <w:color w:val="000000"/>
                          <w:kern w:val="2"/>
                        </w:rPr>
                        <w:t>基础设施层</w:t>
                      </w:r>
                    </w:p>
                  </w:txbxContent>
                </v:textbox>
              </v:rect>
              <v:group id="组合 187" o:spid="_x0000_s1462" o:spt="203" style="position:absolute;left:814;top:203;height:1551;width:7463;" coordorigin="814,203" coordsize="7463,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o:lock v:ext="edit"/>
                <v:shape id="椭圆 188" o:spid="_x0000_s1463" o:spt="3" type="#_x0000_t3" style="position:absolute;left:821;top:221;height:763;width:1440;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R4sQA&#10;AADcAAAADwAAAGRycy9kb3ducmV2LnhtbESPQWsCMRCF70L/QxihN83qodjVKFoolFIPaul5TMbd&#10;xc0kbNJ1+++dg9DbDO/Ne9+sNoNvVU9dagIbmE0LUMQ2uIYrA9+n98kCVMrIDtvAZOCPEmzWT6MV&#10;li7c+ED9MVdKQjiVaKDOOZZaJ1uTxzQNkVi0S+g8Zlm7SrsObxLuWz0vihftsWFpqDHSW032evz1&#10;Bvpmf979fB72l5jj63U7/9oFa415Hg/bJahMQ/43P64/nOAvhFaekQn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EeLEAAAA3AAAAA8AAAAAAAAAAAAAAAAAmAIAAGRycy9k&#10;b3ducmV2LnhtbFBLBQYAAAAABAAEAPUAAACJAwAAAAA=&#10;">
                  <v:path/>
                  <v:fill on="f" focussize="0,0"/>
                  <v:stroke weight="2pt" color="#385D8A"/>
                  <v:imagedata o:title=""/>
                  <o:lock v:ext="edit"/>
                  <v:textbox>
                    <w:txbxContent>
                      <w:p>
                        <w:pPr>
                          <w:pStyle w:val="14"/>
                          <w:spacing w:before="0" w:beforeAutospacing="0" w:after="0" w:afterAutospacing="0"/>
                          <w:jc w:val="center"/>
                        </w:pPr>
                        <w:r>
                          <w:rPr>
                            <w:rFonts w:hint="eastAsia" w:ascii="Calibri" w:cs="Times New Roman"/>
                            <w:color w:val="000000"/>
                            <w:kern w:val="2"/>
                            <w:sz w:val="21"/>
                            <w:szCs w:val="21"/>
                          </w:rPr>
                          <w:t>用户</w:t>
                        </w:r>
                      </w:p>
                    </w:txbxContent>
                  </v:textbox>
                </v:shape>
                <v:roundrect id="矩形: 圆角 3" o:spid="_x0000_s1464" o:spt="2" style="position:absolute;left:2501;top:254;height:651;width:1252;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lzcIA&#10;AADcAAAADwAAAGRycy9kb3ducmV2LnhtbERP22rCQBB9F/oPyxR8000taBpdpYgFUUEb+wFDdkyC&#10;2dmQXZP4964g9G0O5zqLVW8q0VLjSssKPsYRCOLM6pJzBX/nn1EMwnlkjZVlUnAnB6vl22CBibYd&#10;/1Kb+lyEEHYJKii8rxMpXVaQQTe2NXHgLrYx6ANscqkb7EK4qeQkiqbSYMmhocCa1gVl1/RmFGw/&#10;r/tD1x530mG5qePZ6ZieT0oN3/vvOQhPvf8Xv9xbHebHX/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CXNwgAAANwAAAAPAAAAAAAAAAAAAAAAAJgCAABkcnMvZG93&#10;bnJldi54bWxQSwUGAAAAAAQABAD1AAAAhwMAAAAA&#10;">
                  <v:path/>
                  <v:fill on="f" focussize="0,0"/>
                  <v:stroke weight="2pt" color="#385D8A"/>
                  <v:imagedata o:title=""/>
                  <o:lock v:ext="edit"/>
                  <v:textbox>
                    <w:txbxContent>
                      <w:p>
                        <w:pPr>
                          <w:pStyle w:val="14"/>
                          <w:spacing w:before="0" w:beforeAutospacing="0" w:after="0" w:afterAutospacing="0"/>
                          <w:jc w:val="center"/>
                        </w:pPr>
                        <w:r>
                          <w:rPr>
                            <w:rFonts w:hint="eastAsia" w:ascii="Calibri" w:cs="Times New Roman"/>
                            <w:color w:val="000000"/>
                            <w:kern w:val="2"/>
                            <w:sz w:val="21"/>
                            <w:szCs w:val="21"/>
                          </w:rPr>
                          <w:t>物流企业</w:t>
                        </w:r>
                      </w:p>
                    </w:txbxContent>
                  </v:textbox>
                </v:roundrect>
                <v:roundrect id="矩形: 圆角 4" o:spid="_x0000_s1465" o:spt="2" style="position:absolute;left:2493;top:1062;height:651;width:1296;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KcMA&#10;AADcAAAADwAAAGRycy9kb3ducmV2LnhtbESPT4vCQAzF78J+hyHCXkSnW0TX6iiyUFg8+Y89h05s&#10;i51M6Yza/fbmIHhLeC/v/bLa9K5Rd+pC7dnA1yQBRVx4W3Np4HzKx9+gQkS22HgmA/8UYLP+GKww&#10;s/7BB7ofY6kkhEOGBqoY20zrUFTkMEx8SyzaxXcOo6xdqW2HDwl3jU6TZKYd1iwNFbb0U1FxPd6c&#10;gbC7/eXzSyjSeb9IdD7aTn26N+Zz2G+XoCL18W1+Xf9awV8Ivj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DKcMAAADcAAAADwAAAAAAAAAAAAAAAACYAgAAZHJzL2Rv&#10;d25yZXYueG1sUEsFBgAAAAAEAAQA9QAAAIgDA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门户网站</w:t>
                        </w:r>
                      </w:p>
                    </w:txbxContent>
                  </v:textbox>
                </v:roundrect>
                <v:roundrect id="矩形: 圆角 5" o:spid="_x0000_s1466" o:spt="2" style="position:absolute;left:5579;top:1049;height:651;width:130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mssIA&#10;AADcAAAADwAAAGRycy9kb3ducmV2LnhtbERPS2vCQBC+F/wPyxS8FLMxiGliNiJCoHiqtvQ8ZCcP&#10;mp0N2VXjv+8WCr3Nx/ecYj+bQdxocr1lBesoBkFcW91zq+Dzo1q9gnAeWeNgmRQ8yMG+XDwVmGt7&#10;5zPdLr4VIYRdjgo678dcSld3ZNBFdiQOXGMngz7AqZV6wnsIN4NM4ngrDfYcGjoc6dhR/X25GgXu&#10;dP2q0sbVSTpnsaxeDhubvCu1fJ4POxCeZv8v/nO/6TA/W8PvM+E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2ay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短信平台</w:t>
                        </w:r>
                      </w:p>
                    </w:txbxContent>
                  </v:textbox>
                </v:roundrect>
                <v:roundrect id="矩形: 圆角 6" o:spid="_x0000_s1467" o:spt="2" style="position:absolute;left:6984;top:203;height:651;width:1267;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4xcAA&#10;AADcAAAADwAAAGRycy9kb3ducmV2LnhtbERPS4vCMBC+L/gfwgheFptuER/VKLJQWDz5wvPQTB/Y&#10;TEoTtf77jSB4m4/vOatNbxpxp87VlhX8RDEI4tzqmksF51M2noNwHlljY5kUPMnBZj34WmGq7YMP&#10;dD/6UoQQdikqqLxvUyldXpFBF9mWOHCF7Qz6ALtS6g4fIdw0MonjqTRYc2iosKXfivLr8WYUuN3t&#10;ks0KlyezfhHL7Hs7scleqdGw3y5BeOr9R/x2/+kwf5HA65lw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H4xcAAAADcAAAADwAAAAAAAAAAAAAAAACYAgAAZHJzL2Rvd25y&#10;ZXYueG1sUEsFBgAAAAAEAAQA9QAAAIUDAAAAAA==&#10;">
                  <v:path/>
                  <v:fill on="f" focussize="0,0"/>
                  <v:stroke weight="1pt" color="#2F528F" joinstyle="miter"/>
                  <v:imagedata o:title=""/>
                  <o:lock v:ext="edit"/>
                  <v:textbox>
                    <w:txbxContent>
                      <w:p>
                        <w:pPr>
                          <w:pStyle w:val="14"/>
                          <w:spacing w:before="0" w:beforeAutospacing="0" w:after="0" w:afterAutospacing="0"/>
                          <w:jc w:val="center"/>
                        </w:pPr>
                        <w:r>
                          <w:rPr>
                            <w:rFonts w:ascii="Calibri" w:hAnsi="Calibri" w:cs="Times New Roman"/>
                            <w:kern w:val="2"/>
                            <w:sz w:val="21"/>
                            <w:szCs w:val="21"/>
                          </w:rPr>
                          <w:t> </w:t>
                        </w:r>
                      </w:p>
                    </w:txbxContent>
                  </v:textbox>
                </v:roundrect>
                <v:roundrect id="矩形: 圆角 7" o:spid="_x0000_s1468" o:spt="2" style="position:absolute;left:4010;top:1040;height:651;width:1389;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dXsAA&#10;AADcAAAADwAAAGRycy9kb3ducmV2LnhtbERPy6rCMBDdC/5DGMGNaGrvxUc1igiFi6vrA9dDM7bF&#10;ZlKaqPXvjSC4m8N5znLdmkrcqXGlZQXjUQSCOLO65FzB6ZgOZyCcR9ZYWSYFT3KwXnU7S0y0ffCe&#10;7gefixDCLkEFhfd1IqXLCjLoRrYmDtzFNgZ9gE0udYOPEG4qGUfRRBosOTQUWNO2oOx6uBkFbnc7&#10;p9OLy+JpO49kOtj82vhfqX6v3SxAeGr9V/xx/+kwf/4D72fC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1dXsAAAADcAAAADwAAAAAAAAAAAAAAAACYAgAAZHJzL2Rvd25y&#10;ZXYueG1sUEsFBgAAAAAEAAQA9QAAAIUDA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移动终端</w:t>
                        </w:r>
                      </w:p>
                    </w:txbxContent>
                  </v:textbox>
                </v:roundrect>
                <v:roundrect id="矩形: 圆角 8" o:spid="_x0000_s1469" o:spt="2" style="position:absolute;left:3889;top:262;height:651;width:1448;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KsIA&#10;AADcAAAADwAAAGRycy9kb3ducmV2LnhtbERPyWrDMBC9F/IPYgq5lFiOMU3jRAkhYAg9tW7pebDG&#10;C7VGxpKX/H1VKPQ2j7fO8byYTkw0uNaygm0UgyAurW65VvD5kW9eQDiPrLGzTAru5OB8Wj0cMdN2&#10;5neaCl+LEMIuQwWN930mpSsbMugi2xMHrrKDQR/gUEs94BzCTSeTOH6WBlsODQ32dG2o/C5Go8C9&#10;jl/5rnJlslv2scyfLqlN3pRaPy6XAwhPi/8X/7lvOszfp/D7TLh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MUq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农产品企业</w:t>
                        </w:r>
                      </w:p>
                    </w:txbxContent>
                  </v:textbox>
                </v:roundrect>
                <v:roundrect id="矩形: 圆角 9" o:spid="_x0000_s1470" o:spt="2" style="position:absolute;left:5518;top:242;height:651;width:1243;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gscAA&#10;AADcAAAADwAAAGRycy9kb3ducmV2LnhtbERPy6rCMBDdC/5DGMGNaGq510c1igiFi6vrA9dDM7bF&#10;ZlKaqPXvjSC4m8N5znLdmkrcqXGlZQXjUQSCOLO65FzB6ZgOZyCcR9ZYWSYFT3KwXnU7S0y0ffCe&#10;7gefixDCLkEFhfd1IqXLCjLoRrYmDtzFNgZ9gE0udYOPEG4qGUfRRBosOTQUWNO2oOx6uBkFbnc7&#10;p9OLy+JpO49kOtj82PhfqX6v3SxAeGr9V/xx/+kwf/4L72fC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hgscAAAADcAAAADwAAAAAAAAAAAAAAAACYAgAAZHJzL2Rvd25y&#10;ZXYueG1sUEsFBgAAAAAEAAQA9QAAAIUDAAAAAA==&#10;">
                  <v:path/>
                  <v:fill on="f" focussize="0,0"/>
                  <v:stroke weight="1pt" color="#2F528F" joinstyle="miter"/>
                  <v:imagedata o:title=""/>
                  <o:lock v:ext="edit"/>
                  <v:textbox>
                    <w:txbxContent>
                      <w:p>
                        <w:pPr>
                          <w:pStyle w:val="14"/>
                          <w:spacing w:before="0" w:beforeAutospacing="0" w:after="0" w:afterAutospacing="0"/>
                          <w:jc w:val="center"/>
                        </w:pPr>
                        <w:r>
                          <w:rPr>
                            <w:rFonts w:hint="eastAsia" w:ascii="Calibri" w:cs="Times New Roman"/>
                            <w:kern w:val="2"/>
                            <w:sz w:val="21"/>
                            <w:szCs w:val="21"/>
                          </w:rPr>
                          <w:t>货主企业</w:t>
                        </w:r>
                      </w:p>
                    </w:txbxContent>
                  </v:textbox>
                </v:roundrect>
                <v:shape id="流程图: 直接访问存储器 196" o:spid="_x0000_s1471" o:spt="133" type="#_x0000_t133" style="position:absolute;left:814;top:1058;height:651;width:1566;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3GE8IA&#10;AADcAAAADwAAAGRycy9kb3ducmV2LnhtbERPTWsCMRC9F/wPYYTearZCpa5GKUqpeJC6CnocN+Nm&#10;cTMJm6jbf98Ihd7m8T5nOu9sI27UhtqxgtdBBoK4dLrmSsF+9/nyDiJEZI2NY1LwQwHms97TFHPt&#10;7rylWxErkUI45KjAxOhzKUNpyGIYOE+cuLNrLcYE20rqFu8p3DZymGUjabHm1GDQ08JQeSmuVsF3&#10;sT5e/T58+cXp4P3G8Fu2PCj13O8+JiAidfFf/Ode6TR/PILHM+k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cYTwgAAANwAAAAPAAAAAAAAAAAAAAAAAJgCAABkcnMvZG93&#10;bnJldi54bWxQSwUGAAAAAAQABAD1AAAAhwMAAAAA&#10;">
                  <v:path/>
                  <v:fill on="f" focussize="0,0"/>
                  <v:stroke weight="2pt" color="#385D8A"/>
                  <v:imagedata o:title=""/>
                  <o:lock v:ext="edit"/>
                  <v:textbox>
                    <w:txbxContent>
                      <w:p>
                        <w:pPr>
                          <w:pStyle w:val="14"/>
                          <w:spacing w:before="0" w:beforeAutospacing="0" w:after="0" w:afterAutospacing="0"/>
                          <w:jc w:val="center"/>
                        </w:pPr>
                        <w:r>
                          <w:rPr>
                            <w:rFonts w:hint="eastAsia" w:ascii="Calibri" w:cs="Times New Roman"/>
                            <w:color w:val="000000"/>
                            <w:kern w:val="2"/>
                            <w:sz w:val="21"/>
                            <w:szCs w:val="21"/>
                          </w:rPr>
                          <w:t>渠道</w:t>
                        </w:r>
                      </w:p>
                    </w:txbxContent>
                  </v:textbox>
                </v:shape>
                <v:roundrect id="矩形: 圆角 6" o:spid="_x0000_s1472" o:spt="2" style="position:absolute;left:7010;top:1103;height:651;width:1267;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XcIA&#10;AADcAAAADwAAAGRycy9kb3ducmV2LnhtbERPS0vDQBC+F/wPywheitkYpDGx2xCEQPFk09LzkJ08&#10;MDsbsts2/vuuIHibj+8522Ixo7jS7AbLCl6iGARxY/XAnYLTsXp+A+E8ssbRMin4IQfF7mG1xVzb&#10;Gx/oWvtOhBB2OSrovZ9yKV3Tk0EX2Yk4cK2dDfoA507qGW8h3IwyieONNDhwaOhxoo+emu/6YhS4&#10;z8u5SlvXJOmSxbJal682+VLq6XEp30F4Wvy/+M+912F+lsLvM+EC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ltdwgAAANwAAAAPAAAAAAAAAAAAAAAAAJgCAABkcnMvZG93&#10;bnJldi54bWxQSwUGAAAAAAQABAD1AAAAhwMAAAAA&#10;">
                  <v:path/>
                  <v:fill on="f" focussize="0,0"/>
                  <v:stroke weight="1pt" color="#2F528F" joinstyle="miter"/>
                  <v:imagedata o:title=""/>
                  <o:lock v:ext="edit"/>
                  <v:textbox>
                    <w:txbxContent>
                      <w:p>
                        <w:pPr>
                          <w:pStyle w:val="14"/>
                          <w:spacing w:before="0" w:beforeAutospacing="0" w:after="0" w:afterAutospacing="0"/>
                          <w:jc w:val="both"/>
                        </w:pPr>
                        <w:r>
                          <w:rPr>
                            <w:rFonts w:ascii="Calibri" w:hAnsi="Calibri" w:cs="Times New Roman"/>
                            <w:kern w:val="2"/>
                            <w:sz w:val="21"/>
                            <w:szCs w:val="21"/>
                          </w:rPr>
                          <w:t> </w:t>
                        </w:r>
                      </w:p>
                    </w:txbxContent>
                  </v:textbox>
                </v:roundrect>
                <v:line id="直接连接符 198" o:spid="_x0000_s1473" o:spt="20" style="position:absolute;left:7165;top:545;height:0;width:926;"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3qsYAAADcAAAADwAAAGRycy9kb3ducmV2LnhtbESPQWvCQBCF74X+h2UKvYhuKiqaZiNF&#10;EBWE0ujB3obsNAnNzobsVtN/3zkIvc3w3rz3TbYeXKuu1IfGs4GXSQKKuPS24crA+bQdL0GFiGyx&#10;9UwGfinAOn98yDC1/sYfdC1ipSSEQ4oG6hi7VOtQ1uQwTHxHLNqX7x1GWftK2x5vEu5aPU2ShXbY&#10;sDTU2NGmpvK7+HEGNnO3uxx9rN4P53Y2atyn1fu5Mc9Pw9srqEhD/Dffr/dW8FdCK8/IB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NN6rGAAAA3AAAAA8AAAAAAAAA&#10;AAAAAAAAoQIAAGRycy9kb3ducmV2LnhtbFBLBQYAAAAABAAEAPkAAACUAwAAAAA=&#10;">
                  <v:path arrowok="t"/>
                  <v:fill focussize="0,0"/>
                  <v:stroke weight="1pt" color="#385D8A" dashstyle="longDash"/>
                  <v:imagedata o:title=""/>
                  <o:lock v:ext="edit"/>
                </v:line>
                <v:line id="直接连接符 199" o:spid="_x0000_s1474" o:spt="20" style="position:absolute;left:7131;top:1454;height:0;width:926;"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GSMcMAAADcAAAADwAAAGRycy9kb3ducmV2LnhtbERPS4vCMBC+C/6HMAt7EU1dVLQaixRk&#10;XRDEx0FvQzO2ZZtJabJa//1GELzNx/ecRdKaStyocaVlBcNBBII4s7rkXMHpuO5PQTiPrLGyTAoe&#10;5CBZdjsLjLW9855uB5+LEMIuRgWF93UspcsKMugGtiYO3NU2Bn2ATS51g/cQbir5FUUTabDk0FBg&#10;TWlB2e/hzyhIx+b7vLU+3/2cqlGvNBctN2OlPj/a1RyEp9a/xS/3Rof5sxk8nw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kjHDAAAA3AAAAA8AAAAAAAAAAAAA&#10;AAAAoQIAAGRycy9kb3ducmV2LnhtbFBLBQYAAAAABAAEAPkAAACRAwAAAAA=&#10;">
                  <v:path arrowok="t"/>
                  <v:fill focussize="0,0"/>
                  <v:stroke weight="1pt" color="#385D8A" dashstyle="longDash"/>
                  <v:imagedata o:title=""/>
                  <o:lock v:ext="edit"/>
                </v:line>
              </v:group>
            </v:group>
          </v:group>
        </w:pict>
      </w:r>
      <w:r>
        <w:rPr>
          <w:rFonts w:hint="eastAsia" w:ascii="宋体" w:hAnsi="宋体"/>
          <w:color w:val="000000" w:themeColor="text1"/>
          <w:kern w:val="0"/>
          <w:sz w:val="28"/>
          <w:szCs w:val="28"/>
        </w:rPr>
        <w:t xml:space="preserve">    （1）基础设施层：基础设施层为平台的运行提供各种软硬件基础设施，它是整个信息平台的基础层。基础设施层又包括感知设施和网络设施，其中，电子标签识读、各种传感器测量、图像图形识别、GPS 跟踪定位及解决各种异构数据的中间件构成感知端；由专用网络、移动互联、无线网络等构成网络传输端。基础设施层解决物流信息的智能采集与传输。</w:t>
      </w: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left"/>
        <w:rPr>
          <w:rFonts w:ascii="宋体" w:hAnsi="宋体" w:cs="宋体"/>
          <w:color w:val="000000" w:themeColor="text1"/>
          <w:sz w:val="28"/>
          <w:szCs w:val="28"/>
        </w:rPr>
      </w:pPr>
    </w:p>
    <w:p>
      <w:pPr>
        <w:widowControl/>
        <w:spacing w:before="0" w:after="0" w:line="240" w:lineRule="auto"/>
        <w:ind w:left="0" w:firstLine="0"/>
        <w:jc w:val="center"/>
        <w:rPr>
          <w:rFonts w:ascii="宋体" w:hAnsi="宋体"/>
          <w:color w:val="000000" w:themeColor="text1"/>
          <w:kern w:val="0"/>
          <w:sz w:val="28"/>
          <w:szCs w:val="28"/>
        </w:rPr>
      </w:pPr>
      <w:r>
        <w:rPr>
          <w:rFonts w:hint="eastAsia" w:ascii="宋体" w:hAnsi="宋体"/>
          <w:b/>
          <w:bCs/>
          <w:color w:val="000000" w:themeColor="text1"/>
          <w:sz w:val="24"/>
          <w:szCs w:val="24"/>
        </w:rPr>
        <w:t>图3-10 农村物流信息平台结构图</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w:t>
      </w:r>
      <w:r>
        <w:rPr>
          <w:rFonts w:hint="eastAsia"/>
          <w:color w:val="000000" w:themeColor="text1"/>
          <w:kern w:val="0"/>
          <w:sz w:val="28"/>
          <w:szCs w:val="28"/>
        </w:rPr>
        <w:t>2</w:t>
      </w:r>
      <w:r>
        <w:rPr>
          <w:rFonts w:hint="eastAsia" w:ascii="宋体" w:hAnsi="宋体"/>
          <w:color w:val="000000" w:themeColor="text1"/>
          <w:kern w:val="0"/>
          <w:sz w:val="28"/>
          <w:szCs w:val="28"/>
        </w:rPr>
        <w:t>）数据库层：数据库层为应用服务层提供数据支撑。对采集到的各类物流相关数据进行科学分类，按照统一的数据格式、规范标准，对数据信息进行传输、存储、处理及共享。</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w:t>
      </w:r>
      <w:r>
        <w:rPr>
          <w:rFonts w:hint="eastAsia"/>
          <w:color w:val="000000" w:themeColor="text1"/>
          <w:kern w:val="0"/>
          <w:sz w:val="28"/>
          <w:szCs w:val="28"/>
        </w:rPr>
        <w:t>3</w:t>
      </w:r>
      <w:r>
        <w:rPr>
          <w:rFonts w:hint="eastAsia" w:ascii="宋体" w:hAnsi="宋体"/>
          <w:color w:val="000000" w:themeColor="text1"/>
          <w:kern w:val="0"/>
          <w:sz w:val="28"/>
          <w:szCs w:val="28"/>
        </w:rPr>
        <w:t>）应用服务层：应用服务层提供平台需要的各种功能模块，它是平台的业务服务层。应用服务层分为两类：物流信息管理模块和物流信息功能模块。物流信息管理模块主要包括：仓储管理系统、农产品管理系统、配送管理系统等；物流信息功能模块主要包括：订单管理、运输跟踪、信息查询、信息发布等。</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w:t>
      </w:r>
      <w:r>
        <w:rPr>
          <w:rFonts w:hint="eastAsia"/>
          <w:color w:val="000000" w:themeColor="text1"/>
          <w:kern w:val="0"/>
          <w:sz w:val="28"/>
          <w:szCs w:val="28"/>
        </w:rPr>
        <w:t>4</w:t>
      </w:r>
      <w:r>
        <w:rPr>
          <w:rFonts w:hint="eastAsia" w:ascii="宋体" w:hAnsi="宋体"/>
          <w:color w:val="000000" w:themeColor="text1"/>
          <w:kern w:val="0"/>
          <w:sz w:val="28"/>
          <w:szCs w:val="28"/>
        </w:rPr>
        <w:t>）用户展示层：它是面向用户的前端层，包含用户和渠道类型。平台用户包括：物流企业、农产品企业、政府相关部门等；平台渠道包括：门户网站、移动</w:t>
      </w:r>
      <w:r>
        <w:rPr>
          <w:rFonts w:hint="eastAsia"/>
          <w:color w:val="000000" w:themeColor="text1"/>
          <w:kern w:val="0"/>
          <w:sz w:val="28"/>
          <w:szCs w:val="28"/>
        </w:rPr>
        <w:t>APP</w:t>
      </w:r>
      <w:r>
        <w:rPr>
          <w:rFonts w:hint="eastAsia" w:ascii="宋体" w:hAnsi="宋体"/>
          <w:color w:val="000000" w:themeColor="text1"/>
          <w:kern w:val="0"/>
          <w:sz w:val="28"/>
          <w:szCs w:val="28"/>
        </w:rPr>
        <w:t>，短信服务平台等，为用户提供服务入口。</w:t>
      </w:r>
    </w:p>
    <w:p>
      <w:pPr>
        <w:keepNext/>
        <w:widowControl/>
        <w:spacing w:before="240" w:after="60" w:line="240" w:lineRule="atLeast"/>
        <w:ind w:left="720" w:hanging="720"/>
        <w:jc w:val="left"/>
        <w:outlineLvl w:val="2"/>
        <w:rPr>
          <w:rFonts w:ascii="Times New Roman" w:hAnsi="Times New Roman" w:eastAsia="黑体"/>
          <w:bCs/>
          <w:color w:val="000000" w:themeColor="text1"/>
          <w:kern w:val="0"/>
          <w:sz w:val="30"/>
          <w:szCs w:val="30"/>
        </w:rPr>
      </w:pPr>
      <w:r>
        <w:rPr>
          <w:rFonts w:hint="eastAsia" w:ascii="Times New Roman" w:hAnsi="Times New Roman" w:eastAsia="黑体"/>
          <w:bCs/>
          <w:color w:val="000000" w:themeColor="text1"/>
          <w:kern w:val="0"/>
          <w:sz w:val="30"/>
          <w:szCs w:val="30"/>
        </w:rPr>
        <w:t>3.7.3</w:t>
      </w:r>
      <w:r>
        <w:rPr>
          <w:rFonts w:hint="eastAsia" w:ascii="黑体" w:hAnsi="黑体" w:eastAsia="黑体"/>
          <w:bCs/>
          <w:color w:val="000000" w:themeColor="text1"/>
          <w:kern w:val="0"/>
          <w:sz w:val="30"/>
          <w:szCs w:val="30"/>
        </w:rPr>
        <w:t>物流信息功能设计</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信息平台的基本功能是为了满足平台用户的基本需求，物流信息平台应包括以下基本功能模块：</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w:t>
      </w:r>
      <w:r>
        <w:rPr>
          <w:rFonts w:hint="eastAsia"/>
          <w:color w:val="000000" w:themeColor="text1"/>
          <w:kern w:val="0"/>
          <w:sz w:val="28"/>
          <w:szCs w:val="28"/>
        </w:rPr>
        <w:t>1</w:t>
      </w:r>
      <w:r>
        <w:rPr>
          <w:rFonts w:hint="eastAsia" w:ascii="宋体" w:hAnsi="宋体"/>
          <w:color w:val="000000" w:themeColor="text1"/>
          <w:kern w:val="0"/>
          <w:sz w:val="28"/>
          <w:szCs w:val="28"/>
        </w:rPr>
        <w:t>）物流信息服务功能模块。物流信息服务是物流信息平台的基础服务功能。信息服务功能贯穿于物流信息采集、信息传输、需求信息发布与物流供需匹配等全过程。物流信息服务功能模块还要进一步细分为各子模块：物流信息采集模块、物流信息的接入与传输模块、物流供需信息发布模块、信息查询模块、营运车辆、人员资质与认证模块等。用户通过网页、客户端和移动端发布供需信息，平台通过信息匹配，为用户提供定制化、多样化的公共物流信息服务。</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w:t>
      </w:r>
      <w:r>
        <w:rPr>
          <w:rFonts w:hint="eastAsia"/>
          <w:color w:val="000000" w:themeColor="text1"/>
          <w:kern w:val="0"/>
          <w:sz w:val="28"/>
          <w:szCs w:val="28"/>
        </w:rPr>
        <w:t>2</w:t>
      </w:r>
      <w:r>
        <w:rPr>
          <w:rFonts w:hint="eastAsia" w:ascii="宋体" w:hAnsi="宋体"/>
          <w:color w:val="000000" w:themeColor="text1"/>
          <w:kern w:val="0"/>
          <w:sz w:val="28"/>
          <w:szCs w:val="28"/>
        </w:rPr>
        <w:t>）物流资源交易功能模块。物流资源交易模块承担车船运力、仓储资源及物流设施等资源的磋商与交易。业务交易功能支持物流企业、货物供应商和客户等进行在线交易处理，通过系统接口，各相关主体和政府相关部门进行数据交换、信息传输和信息处理等。该模块还能提供相关的配套物流服务，例如定位监控运输车辆行驶路径，在途跟踪货物状态，监控仓库安全生产过程等；同时可以对达成交易的订单进行跟踪和后续合同管理等。</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w:t>
      </w:r>
      <w:r>
        <w:rPr>
          <w:rFonts w:hint="eastAsia"/>
          <w:color w:val="000000" w:themeColor="text1"/>
          <w:kern w:val="0"/>
          <w:sz w:val="28"/>
          <w:szCs w:val="28"/>
        </w:rPr>
        <w:t>3</w:t>
      </w:r>
      <w:r>
        <w:rPr>
          <w:rFonts w:hint="eastAsia" w:ascii="宋体" w:hAnsi="宋体"/>
          <w:color w:val="000000" w:themeColor="text1"/>
          <w:kern w:val="0"/>
          <w:sz w:val="28"/>
          <w:szCs w:val="28"/>
        </w:rPr>
        <w:t>）电子政务功能模块。平台能够为用户提供一站式的网上政务服务。把工商、税务、海关等政府服务系统接入信息平台，可以为平台用户办理：网上审批、网上缴费、税务缴纳、电子报关、出入境检验检疫服务等，提高物流服务效率和效益。</w:t>
      </w:r>
    </w:p>
    <w:p>
      <w:pPr>
        <w:snapToGrid w:val="0"/>
        <w:spacing w:before="0" w:after="0" w:line="360" w:lineRule="auto"/>
        <w:ind w:left="0" w:firstLine="560" w:firstLineChars="200"/>
        <w:jc w:val="left"/>
        <w:rPr>
          <w:color w:val="000000" w:themeColor="text1"/>
          <w:kern w:val="0"/>
          <w:sz w:val="28"/>
          <w:szCs w:val="28"/>
        </w:rPr>
      </w:pPr>
      <w:r>
        <w:rPr>
          <w:rFonts w:hint="eastAsia" w:ascii="宋体" w:hAnsi="宋体"/>
          <w:color w:val="000000" w:themeColor="text1"/>
          <w:kern w:val="0"/>
          <w:sz w:val="28"/>
          <w:szCs w:val="28"/>
        </w:rPr>
        <w:t>（</w:t>
      </w:r>
      <w:r>
        <w:rPr>
          <w:rFonts w:hint="eastAsia"/>
          <w:color w:val="000000" w:themeColor="text1"/>
          <w:kern w:val="0"/>
          <w:sz w:val="28"/>
          <w:szCs w:val="28"/>
        </w:rPr>
        <w:t>4</w:t>
      </w:r>
      <w:r>
        <w:rPr>
          <w:rFonts w:hint="eastAsia" w:ascii="宋体" w:hAnsi="宋体"/>
          <w:color w:val="000000" w:themeColor="text1"/>
          <w:kern w:val="0"/>
          <w:sz w:val="28"/>
          <w:szCs w:val="28"/>
        </w:rPr>
        <w:t>）智能辅助决策功能模块。运用大数据挖掘、自主学习、和预测分析等技术，信息平台对采集到的物流信息数据进行深度处理，揭开隐藏在海量数据中有价值的信息，基于相关数学模型进行计算，辅助配送路径优化等智能决策；相关数据还可以为物流企业开展物流统筹、业务规划等提供决策支持；运用大数据预测技术对未来经济发展趋势作出预测，为政府相关部门制定战略规划和政策制定提供决策依据。</w:t>
      </w:r>
    </w:p>
    <w:p>
      <w:pPr>
        <w:pStyle w:val="3"/>
        <w:numPr>
          <w:ilvl w:val="1"/>
          <w:numId w:val="2"/>
        </w:numPr>
        <w:ind w:left="783"/>
        <w:jc w:val="left"/>
        <w:rPr>
          <w:rFonts w:ascii="Times New Roman" w:hAnsi="Times New Roman"/>
          <w:color w:val="000000" w:themeColor="text1"/>
        </w:rPr>
      </w:pPr>
      <w:bookmarkStart w:id="32" w:name="_Toc528526459"/>
      <w:r>
        <w:rPr>
          <w:rFonts w:hint="eastAsia" w:ascii="Times New Roman" w:hAnsi="Times New Roman"/>
          <w:color w:val="000000" w:themeColor="text1"/>
        </w:rPr>
        <w:t>农村电商平台规划</w:t>
      </w:r>
      <w:bookmarkEnd w:id="32"/>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3.8.1 农村电子商务规划目标</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在规划期内，完成全区电子商务基础环境建设，核心平台投入运营，电子商务产业体系的进一步完善并形成产业集聚。为了构建“工业品下乡”和“农副产品进城”的双向通道，农村网购网销快速增长，农村电子商务物流配送能力大幅提升的同时，要基本实现快递到乡镇、配送到农村。大力推进电子商务应用“三级”全覆盖，建设1个区级农村电商综合服务平台，建设4个乡镇农村电商服务站，培育</w:t>
      </w:r>
      <w:r>
        <w:rPr>
          <w:rFonts w:ascii="宋体" w:hAnsi="宋体" w:cs="宋体"/>
          <w:color w:val="000000" w:themeColor="text1"/>
          <w:sz w:val="28"/>
          <w:szCs w:val="28"/>
        </w:rPr>
        <w:t>2</w:t>
      </w:r>
      <w:r>
        <w:rPr>
          <w:rFonts w:hint="eastAsia" w:ascii="宋体" w:hAnsi="宋体" w:cs="宋体"/>
          <w:color w:val="000000" w:themeColor="text1"/>
          <w:sz w:val="28"/>
          <w:szCs w:val="28"/>
        </w:rPr>
        <w:t>-3个农村电子商务示范乡镇，每个乡镇培育2-</w:t>
      </w:r>
      <w:r>
        <w:rPr>
          <w:rFonts w:ascii="宋体" w:hAnsi="宋体" w:cs="宋体"/>
          <w:color w:val="000000" w:themeColor="text1"/>
          <w:sz w:val="28"/>
          <w:szCs w:val="28"/>
        </w:rPr>
        <w:t>3</w:t>
      </w:r>
      <w:r>
        <w:rPr>
          <w:rFonts w:hint="eastAsia" w:ascii="宋体" w:hAnsi="宋体" w:cs="宋体"/>
          <w:color w:val="000000" w:themeColor="text1"/>
          <w:sz w:val="28"/>
          <w:szCs w:val="28"/>
        </w:rPr>
        <w:t>个农村电子商务示范村，以示范点辐射服务于周边村落，将分散的农村电商企业整合进入服务站、服务点中，实现电商代购、农产品代卖等服务。在农村电商服务示范点运营成熟后，将推广至全部建制村，实现农村电商服务全覆盖。</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3.8.2 农村电商综合服务平台</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农村电商平台建设以“互联网+农产品”理念为指导，通过融合线上线下资源，提供各种服务来实现多方共赢的商业模式，其主体架构分为线上平台、线下实体两个部分。</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1.电商平台线上运作模式</w:t>
      </w:r>
    </w:p>
    <w:p>
      <w:pPr>
        <w:spacing w:before="0" w:after="0" w:line="360" w:lineRule="auto"/>
        <w:ind w:left="0" w:firstLine="560" w:firstLineChars="200"/>
        <w:rPr>
          <w:rFonts w:ascii="宋体" w:hAnsi="宋体" w:cs="宋体"/>
          <w:bCs/>
          <w:color w:val="000000" w:themeColor="text1"/>
          <w:sz w:val="28"/>
          <w:szCs w:val="28"/>
        </w:rPr>
      </w:pPr>
      <w:r>
        <w:rPr>
          <w:rFonts w:hint="eastAsia" w:ascii="宋体" w:hAnsi="宋体" w:cs="宋体"/>
          <w:color w:val="000000" w:themeColor="text1"/>
          <w:sz w:val="28"/>
          <w:szCs w:val="28"/>
        </w:rPr>
        <w:t>线上部分，通过自建电商平台，开发 PC 端和手机移动端前台，线上部分后台主要由销售平台、商家平台、物流平台、会员平台、支付平台、服务平台等构成，分别连接线下消费者（农村用户、城市用户）、体验店（农村服务站）、商家（农产品企业、社区商超）、物流快递公司、金融服务机构，并实现各平台资源</w:t>
      </w:r>
      <w:r>
        <w:rPr>
          <w:rFonts w:hint="eastAsia" w:ascii="宋体" w:hAnsi="宋体" w:cs="宋体"/>
          <w:bCs/>
          <w:color w:val="000000" w:themeColor="text1"/>
          <w:sz w:val="28"/>
          <w:szCs w:val="28"/>
        </w:rPr>
        <w:t>的相互共享，具体见图3-11。</w:t>
      </w:r>
    </w:p>
    <w:p>
      <w:pPr>
        <w:spacing w:before="0" w:after="0" w:line="360" w:lineRule="auto"/>
        <w:ind w:left="0" w:firstLine="560" w:firstLineChars="200"/>
        <w:rPr>
          <w:rFonts w:ascii="宋体" w:hAnsi="宋体" w:cs="宋体"/>
          <w:bCs/>
          <w:color w:val="000000" w:themeColor="text1"/>
          <w:sz w:val="28"/>
          <w:szCs w:val="28"/>
        </w:rPr>
      </w:pPr>
      <w:r>
        <w:rPr>
          <w:rFonts w:hint="eastAsia" w:ascii="宋体" w:hAnsi="宋体" w:cs="宋体"/>
          <w:color w:val="000000" w:themeColor="text1"/>
          <w:sz w:val="28"/>
          <w:szCs w:val="28"/>
        </w:rPr>
        <w:t>销售平台主要提供产品信息，帮助泉州台商投资区本地农特产品企业实现在线销售。商家平台是为入驻的企业提供从产品规划、网店运营、网店推广、品牌营销、人才培训等全程电子商务服务，并为企业搭建并维护网络销售渠道。物流平台作为货物流通的节点，实现产品从线上预览交易到线下用户签收使用的功能。可以与邮政速递 EMS、顺丰、圆通、申通、签署快递物流配送合作协议。会员平台实现商家和消费者线上互动功能，通过会员开发以及积分、数据等接入，提供常年折扣优惠，引导会员到店消费，促进企业营销转型。</w:t>
      </w:r>
    </w:p>
    <w:p>
      <w:pPr>
        <w:spacing w:before="0" w:after="0" w:line="360" w:lineRule="auto"/>
        <w:ind w:left="0" w:firstLine="560" w:firstLineChars="200"/>
        <w:rPr>
          <w:rFonts w:ascii="宋体" w:hAnsi="宋体" w:cs="宋体"/>
          <w:bCs/>
          <w:color w:val="000000" w:themeColor="text1"/>
          <w:sz w:val="28"/>
          <w:szCs w:val="28"/>
        </w:rPr>
      </w:pPr>
      <w:r>
        <w:rPr>
          <w:rFonts w:ascii="宋体" w:hAnsi="宋体" w:cs="宋体"/>
          <w:bCs/>
          <w:color w:val="000000" w:themeColor="text1"/>
          <w:sz w:val="28"/>
          <w:szCs w:val="28"/>
        </w:rPr>
        <w:drawing>
          <wp:anchor distT="0" distB="0" distL="114300" distR="114300" simplePos="0" relativeHeight="251665408" behindDoc="0" locked="0" layoutInCell="1" allowOverlap="1">
            <wp:simplePos x="0" y="0"/>
            <wp:positionH relativeFrom="column">
              <wp:posOffset>201930</wp:posOffset>
            </wp:positionH>
            <wp:positionV relativeFrom="paragraph">
              <wp:posOffset>24765</wp:posOffset>
            </wp:positionV>
            <wp:extent cx="4918710" cy="3379470"/>
            <wp:effectExtent l="0" t="0" r="0" b="0"/>
            <wp:wrapNone/>
            <wp:docPr id="1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descr="IMG_256"/>
                    <pic:cNvPicPr>
                      <a:picLocks noChangeAspect="1"/>
                    </pic:cNvPicPr>
                  </pic:nvPicPr>
                  <pic:blipFill>
                    <a:blip r:embed="rId29" cstate="print"/>
                    <a:stretch>
                      <a:fillRect/>
                    </a:stretch>
                  </pic:blipFill>
                  <pic:spPr>
                    <a:xfrm>
                      <a:off x="0" y="0"/>
                      <a:ext cx="4918710" cy="3379470"/>
                    </a:xfrm>
                    <a:prstGeom prst="rect">
                      <a:avLst/>
                    </a:prstGeom>
                    <a:noFill/>
                    <a:ln w="9525">
                      <a:noFill/>
                    </a:ln>
                  </pic:spPr>
                </pic:pic>
              </a:graphicData>
            </a:graphic>
          </wp:anchor>
        </w:drawing>
      </w:r>
    </w:p>
    <w:p>
      <w:pPr>
        <w:spacing w:before="0" w:after="0" w:line="360" w:lineRule="auto"/>
        <w:ind w:left="0" w:firstLine="560" w:firstLineChars="200"/>
        <w:rPr>
          <w:rFonts w:ascii="宋体" w:hAnsi="宋体" w:cs="宋体"/>
          <w:bCs/>
          <w:color w:val="000000" w:themeColor="text1"/>
          <w:sz w:val="28"/>
          <w:szCs w:val="28"/>
        </w:rPr>
      </w:pPr>
    </w:p>
    <w:p>
      <w:pPr>
        <w:spacing w:before="0" w:after="0" w:line="360" w:lineRule="auto"/>
        <w:ind w:left="0" w:firstLine="560" w:firstLineChars="200"/>
        <w:rPr>
          <w:rFonts w:ascii="宋体" w:hAnsi="宋体" w:cs="宋体"/>
          <w:bCs/>
          <w:color w:val="000000" w:themeColor="text1"/>
          <w:sz w:val="28"/>
          <w:szCs w:val="28"/>
        </w:rPr>
      </w:pPr>
    </w:p>
    <w:p>
      <w:pPr>
        <w:spacing w:before="0" w:after="0" w:line="360" w:lineRule="auto"/>
        <w:ind w:left="0" w:firstLine="560" w:firstLineChars="200"/>
        <w:rPr>
          <w:rFonts w:ascii="宋体" w:hAnsi="宋体" w:cs="宋体"/>
          <w:bCs/>
          <w:color w:val="000000" w:themeColor="text1"/>
          <w:sz w:val="28"/>
          <w:szCs w:val="28"/>
        </w:rPr>
      </w:pPr>
    </w:p>
    <w:p>
      <w:pPr>
        <w:spacing w:before="0" w:after="0" w:line="360" w:lineRule="auto"/>
        <w:ind w:left="0" w:firstLine="560" w:firstLineChars="200"/>
        <w:rPr>
          <w:rFonts w:ascii="宋体" w:hAnsi="宋体" w:cs="宋体"/>
          <w:bCs/>
          <w:color w:val="000000" w:themeColor="text1"/>
          <w:sz w:val="28"/>
          <w:szCs w:val="28"/>
        </w:rPr>
      </w:pPr>
    </w:p>
    <w:p>
      <w:pPr>
        <w:spacing w:before="0" w:after="0" w:line="360" w:lineRule="auto"/>
        <w:ind w:left="0" w:firstLine="560" w:firstLineChars="200"/>
        <w:rPr>
          <w:rFonts w:ascii="宋体" w:hAnsi="宋体" w:cs="宋体"/>
          <w:bCs/>
          <w:color w:val="000000" w:themeColor="text1"/>
          <w:sz w:val="28"/>
          <w:szCs w:val="28"/>
        </w:rPr>
      </w:pPr>
    </w:p>
    <w:p>
      <w:pPr>
        <w:spacing w:before="0" w:after="0" w:line="360" w:lineRule="auto"/>
        <w:ind w:left="0" w:firstLine="560" w:firstLineChars="200"/>
        <w:rPr>
          <w:rFonts w:ascii="宋体" w:hAnsi="宋体" w:cs="宋体"/>
          <w:bCs/>
          <w:color w:val="000000" w:themeColor="text1"/>
          <w:sz w:val="28"/>
          <w:szCs w:val="28"/>
        </w:rPr>
      </w:pPr>
    </w:p>
    <w:p>
      <w:pPr>
        <w:spacing w:before="0" w:after="0" w:line="360" w:lineRule="auto"/>
        <w:ind w:left="0" w:firstLine="560" w:firstLineChars="200"/>
        <w:rPr>
          <w:rFonts w:ascii="宋体" w:hAnsi="宋体" w:cs="宋体"/>
          <w:bCs/>
          <w:color w:val="000000" w:themeColor="text1"/>
          <w:sz w:val="28"/>
          <w:szCs w:val="28"/>
        </w:rPr>
      </w:pPr>
    </w:p>
    <w:p>
      <w:pPr>
        <w:spacing w:before="0" w:after="0" w:line="360" w:lineRule="auto"/>
        <w:ind w:left="577" w:hanging="576" w:hangingChars="206"/>
        <w:rPr>
          <w:rFonts w:ascii="宋体" w:hAnsi="宋体" w:cs="宋体"/>
          <w:bCs/>
          <w:color w:val="000000" w:themeColor="text1"/>
          <w:sz w:val="28"/>
          <w:szCs w:val="28"/>
        </w:rPr>
      </w:pPr>
    </w:p>
    <w:p>
      <w:pPr>
        <w:widowControl/>
        <w:spacing w:line="360" w:lineRule="auto"/>
        <w:ind w:left="0" w:firstLine="0"/>
        <w:jc w:val="center"/>
        <w:rPr>
          <w:rFonts w:ascii="宋体" w:hAnsi="宋体" w:cs="宋体"/>
          <w:bCs/>
          <w:color w:val="000000" w:themeColor="text1"/>
          <w:sz w:val="28"/>
          <w:szCs w:val="28"/>
        </w:rPr>
      </w:pPr>
      <w:r>
        <w:rPr>
          <w:rFonts w:hint="eastAsia" w:ascii="Times New Roman" w:hAnsi="Times New Roman"/>
          <w:b/>
          <w:bCs/>
          <w:color w:val="000000" w:themeColor="text1"/>
          <w:kern w:val="0"/>
          <w:sz w:val="24"/>
          <w:szCs w:val="18"/>
        </w:rPr>
        <w:t>图3-11 电商线上平台的运作模式</w:t>
      </w:r>
    </w:p>
    <w:p>
      <w:pPr>
        <w:widowControl/>
        <w:ind w:left="0" w:firstLine="420" w:firstLineChars="150"/>
        <w:rPr>
          <w:rFonts w:ascii="宋体" w:hAnsi="宋体" w:cs="宋体"/>
          <w:bCs/>
          <w:color w:val="000000" w:themeColor="text1"/>
          <w:sz w:val="28"/>
          <w:szCs w:val="28"/>
        </w:rPr>
      </w:pPr>
      <w:r>
        <w:rPr>
          <w:rFonts w:hint="eastAsia" w:ascii="宋体" w:hAnsi="宋体" w:cs="宋体"/>
          <w:bCs/>
          <w:color w:val="000000" w:themeColor="text1"/>
          <w:sz w:val="28"/>
          <w:szCs w:val="28"/>
        </w:rPr>
        <w:t>支付平台设计的时候可以共接通银联支付、支付宝支付、微信支付。未来，平台将联合当地金融机构共同开发基于农村支付特点的第三方支付工具。服务平台通过嫁接各种服务资源，以数字化、信息化的手段，为台商投资区农民提高各种线上、线下移动便民服务。线上主要提为农户提供线上代买代卖服务、培育网店、申请创业资等服务。线下主要通过农村服务站点为当地村民提供生活缴费服务、线下就诊、银行业务预约及其他便民服务。</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2.电商平台线下运作模式</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由科技经济发展局牵头，投资促进局、财政局、</w:t>
      </w:r>
      <w:r>
        <w:rPr>
          <w:rFonts w:hint="eastAsia" w:ascii="宋体" w:hAnsi="宋体" w:cs="宋体"/>
          <w:color w:val="FF0000"/>
          <w:sz w:val="28"/>
          <w:szCs w:val="28"/>
          <w:lang w:val="en-US" w:eastAsia="zh-CN"/>
        </w:rPr>
        <w:t>国土资源</w:t>
      </w:r>
      <w:r>
        <w:rPr>
          <w:rFonts w:hint="eastAsia" w:ascii="宋体" w:hAnsi="宋体" w:cs="宋体"/>
          <w:color w:val="FF0000"/>
          <w:sz w:val="28"/>
          <w:szCs w:val="28"/>
        </w:rPr>
        <w:t>局</w:t>
      </w:r>
      <w:r>
        <w:rPr>
          <w:rFonts w:hint="eastAsia" w:ascii="宋体" w:hAnsi="宋体" w:cs="宋体"/>
          <w:color w:val="000000" w:themeColor="text1"/>
          <w:sz w:val="28"/>
          <w:szCs w:val="28"/>
        </w:rPr>
        <w:t>配合组织建设农村电商线下综合服务平台入驻区级农村电商服务中心，主要为泉州台商投资区电商企业和电商创业者提供线下交流和培训，为普通村民提供电商普及等服务。服务平台每年组织开展“农村电商节”活动，组织泉州台商投资区农村电商企业、农业合作社、电商服务商参加，同时邀请周边县市的知名农村电商企业参与，分享经验，探讨问题。</w:t>
      </w:r>
      <w:r>
        <w:rPr>
          <w:rFonts w:hint="eastAsia" w:ascii="宋体" w:hAnsi="宋体"/>
          <w:color w:val="000000" w:themeColor="text1"/>
          <w:sz w:val="28"/>
          <w:szCs w:val="28"/>
        </w:rPr>
        <w:t>活动同时可组织电商企业与当地农业合作社、大型种植户进行交流，促进双方合作。对上一年度中业绩突出的企业给予适当奖金，树立农村电商发展的典范，将其优秀事迹进行宣传。服务平台定期开展电商培训，培训内容包含电商市场环境、发展误区、营销推广、品牌建设、企业组织架构、包装设计等，邀请行业专家指导教学，提高相关从业人员的业务能力，促进现有电商企业扩大经营规模，加快企业发展成熟。同时，通过培训发现具有良好市场前景的电商项目，帮助其落地实施，扶持其前期发展。</w:t>
      </w:r>
    </w:p>
    <w:p>
      <w:pPr>
        <w:pStyle w:val="3"/>
        <w:numPr>
          <w:ilvl w:val="1"/>
          <w:numId w:val="2"/>
        </w:numPr>
        <w:ind w:left="783"/>
        <w:jc w:val="left"/>
        <w:rPr>
          <w:rFonts w:ascii="Times New Roman" w:hAnsi="Times New Roman"/>
          <w:color w:val="000000" w:themeColor="text1"/>
        </w:rPr>
      </w:pPr>
      <w:bookmarkStart w:id="33" w:name="_Toc528526460"/>
      <w:r>
        <w:rPr>
          <w:rFonts w:hint="eastAsia" w:ascii="Times New Roman" w:hAnsi="Times New Roman"/>
          <w:color w:val="000000" w:themeColor="text1"/>
        </w:rPr>
        <w:t>泉州台商投资区产品上行物流规划</w:t>
      </w:r>
      <w:bookmarkEnd w:id="33"/>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3.9.1 特色农产品上行物流及冷链物流规划</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泉州台商投资区的特色农产品主要包括水产、水果、蔬菜、花卉、畜禽等。农产品在生产、贮藏运输、销售到消费前的各个环节中必须始终处于规定的低温环境下，才能保证物品质量和性能。冷链物流具有成本高、保质难得特点，因此构建高效的冷链物流是农副产品流通质量保证的必要条件。泉州台商投资区的特色农产品上行物流和冷链物流规划从以下几个方面着手：</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（1）完善冷链物流配送体系</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充分利用泉州台商投资区规划的区-镇-村三级农村物流网络节点体系，形成冷链物流三级配送网络。指导农户进行集中采摘、集中预冷，经过大型仓储配送中心仓储，然后直接冷链运输到对方仓储配送中心，由仓储配送中心配送至终端消费市场，解决农产品冷链物流的“最后一公里”问题。要以标准化托盘循环共用为切入点，推广使用1.2m×1m标准托盘及循环公用周转箱、保温箱，提高冷链物流配送效率。</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（2）大力扶持第三方冷链物流企业</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结合泉州台商投资区的实际，加大对生鲜农产品物流企业的扶持力度，完善相关冷链物流政策法规，促进生鲜农产品冷链物流的发展。通过税收优惠或减免措施，培育和壮大2至3个第三方冷链仓储企业、冷链配送企业。把经营理念先进、经营效益好、发展潜力大的冷链物流企业，打造成为冷链物流龙头企业品牌，让其成为行业标杆。</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（3）加强冷链物流基础设施建设</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加大对生鲜农产品冷链物流基础设施的投资。改造更新现有技术设备，全方位多渠道引进国际领先的制冷设备，发挥泉州台商投资区农产品集群优势，建立1-2大型的冷冻冷藏库，3-4个中小型冷冻冷藏库，并积极完善相应的冷链物流配套设施，如保温车、冷藏车。政府设立专项资金，对冷库建设、保温车、冷藏车的购置进行补贴，对自动化采摘技术、冷库保鲜技术、冷藏集装箱技术、物联网技术等方面的技术创新进行资金扶持，推广普及生鲜农产品的冷藏保鲜技术，寻求适合泉州台商投资区农产品特点的冷链物流实用技术。</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（4）构建“互联网+冷链”信息平台建设</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建设一个“互联网+冷链”信息平台，利用“互联网+冷链”信息平台，实现信息共享，减少农产品的流通环节，实现农产品冷链物流的信息化管理。大力推广条形码、销售终端（Point of Sale，POS）技术、电子数据交换（Electronic Data Interchange，EDI）技术、地理信息系统（Geographic Information System，GIS）、GPS、射频识别（Radio Frequency Identification，RFID）等信息技术，增强软件实力。比如可以采用电子商务模式和准时制生产方式（Just In Time，JIT）冷链配送模式，信息在供应商、中间商、销售商之间实现共享，能够做到按单配送，使客户得到最新鲜的生鲜农产品。同时通过网络信息管理，对运输进行全方位的动态监控，实现对农产品安全的追溯。</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3.9.2 工业产品上行物流规划</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泉州台商投资区工业产品主要包括纺织鞋服类和工艺制品两大类。这两类产品一般是由企业通过第三方物流公司完成上行物流，然后完成销售。工业品上行物流的规划主要体现在台商投资区“区-镇-村”三级物流体系中的区级物流中心规划。泉州台商投资区区级物流中心的规划依托于区域内的产业集聚区、大型生产企业进行布局建设。</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1.针对纺织鞋服、机电设备等标准化产品聚集区</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可依托纺织鞋服、机电设备等标准化产品企业聚集区布局建设物流网点。区级物流中心为其提供专业仓储物流服务，这类企业电子商务物流的集散中心。同时区级物流中心仓储管理系统与企业电子商务运营系统对接，实现企业库存信息动态监控，提升物流作业效率，并且通过网点物流服务集聚进而产生规模效应，提高企业物流议价能力，降低企业开展电子商务所需物流成本，最终实现对企业的吸引。</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2.针对工艺制品聚集区</w:t>
      </w:r>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依托工艺制品等非标准化产品企业聚集区布局建设物流网点。由于雕艺产品的特殊性和物流成本控制等因素影响，难以在第三方销售平台大批量销售，另外由于非标准化产品特性，消费者无法在线上体验和感知产品信息，需要通过线下实体体验的方式，完成对产品的认知。因此，聚集区物流网点除了提供传统的仓储、运输、配送外，同时可考虑为这类企业提供标准的O2O线下体验门店或展示区，由工艺制品企业配套专业的线上产品推广营销服务团队，为自己提供电子商务解决方案，实现对企业的吸引。最后，基于O2O产品展示的集聚，聚集区物流网点或区级物流中心可以将这类产品作为物流网点特色整体打包对外宣传，拓展营销渠道，完成对客户的引流，吸引客户到物流网点体验购买。在此过程中即完成了对企业的宣传推广，也实现了物流网点自身的对外宣传，强化了物流网点与企业的融合发展。</w:t>
      </w:r>
    </w:p>
    <w:p>
      <w:pPr>
        <w:widowControl/>
        <w:rPr>
          <w:rFonts w:ascii="Times New Roman" w:hAnsi="Times New Roman"/>
          <w:b/>
          <w:bCs/>
          <w:color w:val="000000" w:themeColor="text1"/>
          <w:kern w:val="44"/>
          <w:sz w:val="44"/>
          <w:szCs w:val="44"/>
        </w:rPr>
      </w:pPr>
      <w:r>
        <w:rPr>
          <w:rFonts w:ascii="Times New Roman" w:hAnsi="Times New Roman"/>
          <w:b/>
          <w:bCs/>
          <w:color w:val="000000" w:themeColor="text1"/>
          <w:kern w:val="44"/>
          <w:sz w:val="44"/>
          <w:szCs w:val="44"/>
        </w:rPr>
        <w:br w:type="page"/>
      </w:r>
      <w:bookmarkEnd w:id="0"/>
    </w:p>
    <w:p>
      <w:pPr>
        <w:pStyle w:val="2"/>
        <w:numPr>
          <w:ilvl w:val="0"/>
          <w:numId w:val="2"/>
        </w:numPr>
        <w:spacing w:beforeLines="0"/>
        <w:ind w:left="0" w:firstLine="0"/>
        <w:rPr>
          <w:rFonts w:ascii="黑体" w:hAnsi="黑体"/>
          <w:b w:val="0"/>
          <w:color w:val="000000" w:themeColor="text1"/>
          <w:sz w:val="44"/>
        </w:rPr>
      </w:pPr>
      <w:bookmarkStart w:id="34" w:name="_Toc528526461"/>
      <w:r>
        <w:rPr>
          <w:rFonts w:hint="eastAsia" w:ascii="黑体" w:hAnsi="黑体"/>
          <w:b w:val="0"/>
          <w:color w:val="000000" w:themeColor="text1"/>
          <w:sz w:val="44"/>
        </w:rPr>
        <w:t>泉州台商投资区农村物流网络体系的运营管理模式</w:t>
      </w:r>
      <w:bookmarkEnd w:id="34"/>
    </w:p>
    <w:p>
      <w:pPr>
        <w:ind w:left="0" w:firstLine="560" w:firstLineChars="200"/>
        <w:rPr>
          <w:color w:val="000000" w:themeColor="text1"/>
        </w:rPr>
      </w:pPr>
      <w:r>
        <w:rPr>
          <w:color w:val="000000" w:themeColor="text1"/>
          <w:kern w:val="0"/>
          <w:sz w:val="28"/>
        </w:rPr>
        <w:t>农村物流网络体系的运营管理最终目标是如何把产品配送到消费者手中</w:t>
      </w:r>
      <w:r>
        <w:rPr>
          <w:rFonts w:hint="eastAsia"/>
          <w:color w:val="000000" w:themeColor="text1"/>
          <w:kern w:val="0"/>
          <w:sz w:val="28"/>
        </w:rPr>
        <w:t>，在运营方面</w:t>
      </w:r>
      <w:r>
        <w:rPr>
          <w:color w:val="000000" w:themeColor="text1"/>
          <w:kern w:val="0"/>
          <w:sz w:val="28"/>
        </w:rPr>
        <w:t>主要包括物流站点如何选择和如何进行上下行物流的配送</w:t>
      </w:r>
      <w:r>
        <w:rPr>
          <w:rFonts w:hint="eastAsia"/>
          <w:color w:val="000000" w:themeColor="text1"/>
          <w:kern w:val="0"/>
          <w:sz w:val="28"/>
        </w:rPr>
        <w:t>，</w:t>
      </w:r>
      <w:r>
        <w:rPr>
          <w:color w:val="000000" w:themeColor="text1"/>
          <w:kern w:val="0"/>
          <w:sz w:val="28"/>
        </w:rPr>
        <w:t>因此本部分内容从站点的选择方法和配送模式两个方面进行运营管理模式的分析</w:t>
      </w:r>
      <w:r>
        <w:rPr>
          <w:rFonts w:hint="eastAsia"/>
          <w:color w:val="000000" w:themeColor="text1"/>
          <w:kern w:val="0"/>
          <w:sz w:val="28"/>
        </w:rPr>
        <w:t>。</w:t>
      </w:r>
    </w:p>
    <w:p>
      <w:pPr>
        <w:pStyle w:val="3"/>
        <w:numPr>
          <w:ilvl w:val="1"/>
          <w:numId w:val="2"/>
        </w:numPr>
        <w:ind w:left="578" w:hanging="578"/>
        <w:jc w:val="left"/>
        <w:rPr>
          <w:rFonts w:ascii="Times New Roman" w:hAnsi="Times New Roman"/>
          <w:color w:val="000000" w:themeColor="text1"/>
        </w:rPr>
      </w:pPr>
      <w:bookmarkStart w:id="35" w:name="_Toc528526462"/>
      <w:r>
        <w:rPr>
          <w:rFonts w:hint="eastAsia" w:ascii="Times New Roman" w:hAnsi="Times New Roman"/>
          <w:color w:val="000000" w:themeColor="text1"/>
        </w:rPr>
        <w:t>泉州台商投资区现行农村物流运营模式分析</w:t>
      </w:r>
      <w:bookmarkEnd w:id="35"/>
    </w:p>
    <w:p>
      <w:pPr>
        <w:pStyle w:val="4"/>
        <w:widowControl/>
        <w:numPr>
          <w:ilvl w:val="2"/>
          <w:numId w:val="2"/>
        </w:numPr>
        <w:spacing w:before="240" w:after="60" w:line="240" w:lineRule="auto"/>
        <w:ind w:left="720"/>
        <w:jc w:val="left"/>
        <w:rPr>
          <w:rFonts w:eastAsia="黑体"/>
          <w:bCs/>
          <w:color w:val="000000" w:themeColor="text1"/>
          <w:sz w:val="30"/>
          <w:szCs w:val="30"/>
          <w:lang w:bidi="en-US"/>
        </w:rPr>
      </w:pPr>
      <w:r>
        <w:rPr>
          <w:rFonts w:hint="eastAsia" w:eastAsia="黑体"/>
          <w:bCs/>
          <w:color w:val="000000" w:themeColor="text1"/>
          <w:sz w:val="30"/>
          <w:szCs w:val="30"/>
          <w:lang w:bidi="en-US"/>
        </w:rPr>
        <w:t>供应链两端组化运营模式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农村物流组织化程度的提高，有利于农村物流主体有效的收集、处理市场和信息技术，同时对农户的生产进行针对性的指导，有利于调整农村产业和产品结构，提高生产技术，目前供应链段组织化运作模式主要有以下三种模式。</w:t>
      </w:r>
    </w:p>
    <w:p>
      <w:pPr>
        <w:keepNext/>
        <w:keepLines/>
        <w:tabs>
          <w:tab w:val="left" w:pos="851"/>
          <w:tab w:val="left" w:pos="993"/>
        </w:tabs>
        <w:spacing w:before="280" w:after="290" w:line="376" w:lineRule="auto"/>
        <w:jc w:val="left"/>
        <w:outlineLvl w:val="3"/>
        <w:rPr>
          <w:rFonts w:ascii="Times New Roman" w:hAnsi="Times New Roman" w:eastAsiaTheme="majorEastAsia" w:cstheme="majorBidi"/>
          <w:bCs/>
          <w:color w:val="000000" w:themeColor="text1"/>
          <w:sz w:val="28"/>
          <w:szCs w:val="28"/>
        </w:rPr>
      </w:pPr>
      <w:r>
        <w:rPr>
          <w:rFonts w:hint="eastAsia" w:ascii="Times New Roman" w:hAnsi="Times New Roman" w:eastAsiaTheme="majorEastAsia" w:cstheme="majorBidi"/>
          <w:bCs/>
          <w:color w:val="000000" w:themeColor="text1"/>
          <w:sz w:val="28"/>
          <w:szCs w:val="28"/>
        </w:rPr>
        <w:t>1.加工性公司农户物流组织模式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这种模式以加工企业为主导，是农产品供应链上的一个主要环节，链接了农业初级原料的生产者和最终消费者相连的农产品批发及零售企业。具有把物流活动和物流费用分离开来的特点，降低了生产者的市场风险，进一步减少了流通环节，提高了物流效率。</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其具体组织模式如图4-1所示：</w:t>
      </w:r>
    </w:p>
    <w:p>
      <w:pPr>
        <w:snapToGrid w:val="0"/>
        <w:spacing w:before="0" w:after="0" w:line="360" w:lineRule="auto"/>
        <w:ind w:left="577" w:hanging="576" w:hangingChars="206"/>
        <w:jc w:val="center"/>
        <w:rPr>
          <w:rFonts w:ascii="Times New Roman" w:hAnsi="Times New Roman"/>
          <w:b/>
          <w:bCs/>
          <w:color w:val="000000" w:themeColor="text1"/>
          <w:kern w:val="0"/>
          <w:sz w:val="24"/>
          <w:szCs w:val="24"/>
        </w:rPr>
      </w:pPr>
      <w:r>
        <w:rPr>
          <w:color w:val="000000" w:themeColor="text1"/>
          <w:kern w:val="0"/>
          <w:sz w:val="28"/>
        </w:rPr>
        <w:drawing>
          <wp:inline distT="0" distB="0" distL="0" distR="0">
            <wp:extent cx="4686300" cy="239966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7992" cy="2405652"/>
                    </a:xfrm>
                    <a:prstGeom prst="rect">
                      <a:avLst/>
                    </a:prstGeom>
                  </pic:spPr>
                </pic:pic>
              </a:graphicData>
            </a:graphic>
          </wp:inline>
        </w:drawing>
      </w:r>
    </w:p>
    <w:p>
      <w:pPr>
        <w:snapToGrid w:val="0"/>
        <w:spacing w:before="0" w:after="0" w:line="360" w:lineRule="auto"/>
        <w:ind w:left="496" w:hanging="496" w:hangingChars="206"/>
        <w:jc w:val="center"/>
        <w:rPr>
          <w:color w:val="000000" w:themeColor="text1"/>
          <w:kern w:val="0"/>
          <w:sz w:val="28"/>
        </w:rPr>
      </w:pPr>
      <w:r>
        <w:rPr>
          <w:rFonts w:hint="eastAsia" w:ascii="Times New Roman" w:hAnsi="Times New Roman"/>
          <w:b/>
          <w:bCs/>
          <w:color w:val="000000" w:themeColor="text1"/>
          <w:kern w:val="0"/>
          <w:sz w:val="24"/>
          <w:szCs w:val="24"/>
        </w:rPr>
        <w:t>图4-1 加工性公司农户物流组织模式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该模式特点及适用条件：</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（1）农业生产者是物流供应链上的一个环节，加工型公司为农业生产者提供了除生产以外的其他服务。</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（2）物流与商流分离开来。</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（3）加工型公司建设基础设施、信息及销售平台，缩短了生产者与消费者之间的时空差距。</w:t>
      </w:r>
    </w:p>
    <w:p>
      <w:pPr>
        <w:snapToGrid w:val="0"/>
        <w:spacing w:before="0" w:after="0" w:line="360" w:lineRule="auto"/>
        <w:ind w:left="0" w:firstLine="560" w:firstLineChars="200"/>
        <w:jc w:val="left"/>
        <w:rPr>
          <w:rFonts w:ascii="Times New Roman" w:hAnsi="Times New Roman"/>
          <w:color w:val="000000" w:themeColor="text1"/>
          <w:kern w:val="0"/>
          <w:sz w:val="28"/>
          <w:szCs w:val="24"/>
        </w:rPr>
      </w:pPr>
      <w:r>
        <w:rPr>
          <w:rFonts w:hint="eastAsia"/>
          <w:color w:val="000000" w:themeColor="text1"/>
          <w:kern w:val="0"/>
          <w:sz w:val="28"/>
        </w:rPr>
        <w:t>（4）该模式适用于具有大宗农副产品生产加工的县（市、区），加工性企业只生产单一或几个产品，如以猪肉为原材料的肉制品加工企业。</w:t>
      </w:r>
    </w:p>
    <w:p>
      <w:pPr>
        <w:keepNext/>
        <w:keepLines/>
        <w:tabs>
          <w:tab w:val="left" w:pos="851"/>
          <w:tab w:val="left" w:pos="993"/>
        </w:tabs>
        <w:spacing w:before="280" w:after="290" w:line="376" w:lineRule="auto"/>
        <w:jc w:val="left"/>
        <w:outlineLvl w:val="3"/>
        <w:rPr>
          <w:rFonts w:ascii="Times New Roman" w:hAnsi="Times New Roman" w:eastAsiaTheme="majorEastAsia" w:cstheme="majorBidi"/>
          <w:bCs/>
          <w:color w:val="000000" w:themeColor="text1"/>
          <w:sz w:val="28"/>
          <w:szCs w:val="28"/>
        </w:rPr>
      </w:pPr>
      <w:r>
        <w:rPr>
          <w:rFonts w:hint="eastAsia" w:ascii="Times New Roman" w:hAnsi="Times New Roman" w:eastAsiaTheme="majorEastAsia" w:cstheme="majorBidi"/>
          <w:bCs/>
          <w:color w:val="000000" w:themeColor="text1"/>
          <w:sz w:val="28"/>
          <w:szCs w:val="28"/>
        </w:rPr>
        <w:t>2.流通性企业农产品生产者物流组织模式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这种模式是以农产品流通企业为主导，作为农村物流供应链上一个重要环节，链接了农产品生产者和加工企业以及最终消费者，建立从生产基地到配送中心以及从配送中心到分销商之间的桥梁，由专业化得物流公司建成了物流平台、信息平台、销售平台、客户数据库等，进一步减少了流通环节，提高了农村物流效率。其具体组织模式如图4-2所示：</w:t>
      </w:r>
    </w:p>
    <w:p>
      <w:pPr>
        <w:spacing w:line="360" w:lineRule="auto"/>
        <w:ind w:left="576" w:hanging="576" w:hangingChars="240"/>
        <w:jc w:val="center"/>
        <w:rPr>
          <w:color w:val="000000" w:themeColor="text1"/>
          <w:sz w:val="24"/>
          <w:szCs w:val="24"/>
        </w:rPr>
      </w:pPr>
      <w:r>
        <w:rPr>
          <w:color w:val="000000" w:themeColor="text1"/>
          <w:sz w:val="24"/>
          <w:szCs w:val="24"/>
        </w:rPr>
        <w:drawing>
          <wp:inline distT="0" distB="0" distL="0" distR="0">
            <wp:extent cx="4391025" cy="219519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12774" cy="2206388"/>
                    </a:xfrm>
                    <a:prstGeom prst="rect">
                      <a:avLst/>
                    </a:prstGeom>
                  </pic:spPr>
                </pic:pic>
              </a:graphicData>
            </a:graphic>
          </wp:inline>
        </w:drawing>
      </w:r>
    </w:p>
    <w:p>
      <w:pPr>
        <w:jc w:val="center"/>
        <w:rPr>
          <w:rFonts w:ascii="Times New Roman" w:hAnsi="Times New Roman"/>
          <w:b/>
          <w:bCs/>
          <w:color w:val="000000" w:themeColor="text1"/>
          <w:kern w:val="0"/>
          <w:sz w:val="24"/>
          <w:szCs w:val="24"/>
        </w:rPr>
      </w:pPr>
      <w:r>
        <w:rPr>
          <w:rFonts w:hint="eastAsia" w:ascii="Times New Roman" w:hAnsi="Times New Roman"/>
          <w:b/>
          <w:bCs/>
          <w:color w:val="000000" w:themeColor="text1"/>
          <w:kern w:val="0"/>
          <w:sz w:val="24"/>
          <w:szCs w:val="24"/>
        </w:rPr>
        <w:t>图4-2流通性企业农产品生产者物流组织模式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该模式特点及适用条件：</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（1）流通性企业承担了农村物流的主体，负责农产品的运输及销售。</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（2）建设农产品配送中心，提供仓储、流通加工、配送等物流服务。初步形成了产销一体化，打破了区域之间物流、商流及信息流的隔断。</w:t>
      </w:r>
    </w:p>
    <w:p>
      <w:pPr>
        <w:snapToGrid w:val="0"/>
        <w:spacing w:before="0" w:after="0" w:line="360" w:lineRule="auto"/>
        <w:ind w:left="0" w:firstLine="560" w:firstLineChars="200"/>
        <w:jc w:val="left"/>
        <w:rPr>
          <w:rFonts w:ascii="Times New Roman" w:hAnsi="Times New Roman"/>
          <w:color w:val="000000" w:themeColor="text1"/>
          <w:kern w:val="0"/>
          <w:sz w:val="28"/>
          <w:szCs w:val="24"/>
        </w:rPr>
      </w:pPr>
      <w:r>
        <w:rPr>
          <w:rFonts w:hint="eastAsia"/>
          <w:color w:val="000000" w:themeColor="text1"/>
          <w:kern w:val="0"/>
          <w:sz w:val="28"/>
        </w:rPr>
        <w:t>（3）该模式广泛应用于广大农村地区，承担农村物流的运输配送、仓储保管、加工销售等物流活动。</w:t>
      </w:r>
    </w:p>
    <w:p>
      <w:pPr>
        <w:keepNext/>
        <w:keepLines/>
        <w:tabs>
          <w:tab w:val="left" w:pos="851"/>
          <w:tab w:val="left" w:pos="993"/>
        </w:tabs>
        <w:spacing w:before="280" w:after="290" w:line="376" w:lineRule="auto"/>
        <w:jc w:val="left"/>
        <w:outlineLvl w:val="3"/>
        <w:rPr>
          <w:rFonts w:ascii="Times New Roman" w:hAnsi="Times New Roman" w:eastAsiaTheme="majorEastAsia" w:cstheme="majorBidi"/>
          <w:bCs/>
          <w:color w:val="000000" w:themeColor="text1"/>
          <w:sz w:val="28"/>
          <w:szCs w:val="28"/>
        </w:rPr>
      </w:pPr>
      <w:r>
        <w:rPr>
          <w:rFonts w:hint="eastAsia" w:ascii="Times New Roman" w:hAnsi="Times New Roman" w:eastAsiaTheme="majorEastAsia" w:cstheme="majorBidi"/>
          <w:bCs/>
          <w:color w:val="000000" w:themeColor="text1"/>
          <w:sz w:val="28"/>
          <w:szCs w:val="28"/>
        </w:rPr>
        <w:t>3.批发商批发市场零售物流组织模式</w:t>
      </w:r>
    </w:p>
    <w:p>
      <w:pPr>
        <w:snapToGrid w:val="0"/>
        <w:spacing w:before="0" w:after="0" w:line="360" w:lineRule="auto"/>
        <w:ind w:left="0" w:firstLine="560" w:firstLineChars="200"/>
        <w:jc w:val="left"/>
        <w:rPr>
          <w:rFonts w:ascii="Times New Roman" w:hAnsi="Times New Roman"/>
          <w:color w:val="000000" w:themeColor="text1"/>
          <w:kern w:val="0"/>
          <w:sz w:val="28"/>
          <w:szCs w:val="24"/>
        </w:rPr>
      </w:pPr>
      <w:r>
        <w:rPr>
          <w:rFonts w:hint="eastAsia"/>
          <w:color w:val="000000" w:themeColor="text1"/>
          <w:kern w:val="0"/>
          <w:sz w:val="28"/>
        </w:rPr>
        <w:t>这种模式以农产品批发中心为主导，农户、批发商及零售商参与其中，这种模式从运行来看，批发市场的建设大多为政府所为，工商税务、产品检验等政府相关部门，并提供一些支持性服务和监管；从参与者来看，主要涵盖了批发商、农户、零售商及农产品加工商，并围绕各参与方提供一些中介服务，如仓储、运输、结算、金融等。具有商流和物流被明显地区分开来，物流并不一定随着物资的转移而发生的特点。</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其具体组织模式如图4-3所示：</w:t>
      </w:r>
    </w:p>
    <w:p>
      <w:pPr>
        <w:snapToGrid w:val="0"/>
        <w:spacing w:before="0" w:after="0" w:line="360" w:lineRule="auto"/>
        <w:ind w:left="577" w:hanging="576" w:hangingChars="206"/>
        <w:jc w:val="center"/>
        <w:rPr>
          <w:color w:val="000000" w:themeColor="text1"/>
          <w:kern w:val="0"/>
          <w:sz w:val="28"/>
        </w:rPr>
      </w:pPr>
      <w:r>
        <w:rPr>
          <w:color w:val="000000" w:themeColor="text1"/>
          <w:kern w:val="0"/>
          <w:sz w:val="28"/>
        </w:rPr>
        <w:drawing>
          <wp:inline distT="0" distB="0" distL="0" distR="0">
            <wp:extent cx="4638675" cy="26066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48842" cy="2612388"/>
                    </a:xfrm>
                    <a:prstGeom prst="rect">
                      <a:avLst/>
                    </a:prstGeom>
                  </pic:spPr>
                </pic:pic>
              </a:graphicData>
            </a:graphic>
          </wp:inline>
        </w:drawing>
      </w:r>
    </w:p>
    <w:p>
      <w:pPr>
        <w:ind w:left="0" w:firstLine="0"/>
        <w:jc w:val="center"/>
        <w:rPr>
          <w:rFonts w:ascii="Times New Roman" w:hAnsi="Times New Roman"/>
          <w:b/>
          <w:bCs/>
          <w:color w:val="000000" w:themeColor="text1"/>
          <w:kern w:val="0"/>
          <w:sz w:val="24"/>
          <w:szCs w:val="24"/>
        </w:rPr>
      </w:pPr>
      <w:r>
        <w:rPr>
          <w:rFonts w:hint="eastAsia" w:ascii="Times New Roman" w:hAnsi="Times New Roman"/>
          <w:b/>
          <w:bCs/>
          <w:color w:val="000000" w:themeColor="text1"/>
          <w:kern w:val="0"/>
          <w:sz w:val="24"/>
          <w:szCs w:val="24"/>
        </w:rPr>
        <w:t>图4-3批发商批发市场零售物流组织模式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该模式特点及适用条件：</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该组织模式是以批发市场为主导，将批发商、零售商、农户、农产品加工企业以及流通企业有效组织起来，批发商拥有自己的仓储设施，零售商一般负责运输配送及售后服务，交易中心提供农村物流中介服务，如储运、结算、信息等服务。</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（2）该模式的商流、物流、信息流明显被分离开来。</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（3）在批发市场体系中，商流和物流被明显地区分开来，物流并不一定随着物权的转移而发生。</w:t>
      </w:r>
    </w:p>
    <w:p>
      <w:pPr>
        <w:snapToGrid w:val="0"/>
        <w:spacing w:before="0" w:after="0" w:line="360" w:lineRule="auto"/>
        <w:ind w:left="0" w:firstLine="560" w:firstLineChars="200"/>
        <w:jc w:val="left"/>
        <w:rPr>
          <w:rFonts w:ascii="Times New Roman" w:hAnsi="Times New Roman"/>
          <w:color w:val="000000" w:themeColor="text1"/>
          <w:kern w:val="0"/>
          <w:sz w:val="28"/>
          <w:szCs w:val="24"/>
        </w:rPr>
      </w:pPr>
      <w:r>
        <w:rPr>
          <w:rFonts w:hint="eastAsia"/>
          <w:color w:val="000000" w:themeColor="text1"/>
          <w:kern w:val="0"/>
          <w:sz w:val="28"/>
        </w:rPr>
        <w:t>（4）该模式适用于县（市、区）拥有体制完善的农贸产品批发市场，把批发商、零售商、农产品生产者有效连接起来，形成一个信息畅通、监管得力、配套服务完善的农副产品交易平台。</w:t>
      </w:r>
    </w:p>
    <w:p>
      <w:pPr>
        <w:pStyle w:val="4"/>
        <w:widowControl/>
        <w:numPr>
          <w:ilvl w:val="2"/>
          <w:numId w:val="2"/>
        </w:numPr>
        <w:spacing w:before="240" w:after="60" w:line="240" w:lineRule="auto"/>
        <w:ind w:left="720"/>
        <w:jc w:val="left"/>
        <w:rPr>
          <w:rFonts w:eastAsia="黑体"/>
          <w:bCs/>
          <w:color w:val="000000" w:themeColor="text1"/>
          <w:sz w:val="30"/>
          <w:szCs w:val="30"/>
          <w:lang w:bidi="en-US"/>
        </w:rPr>
      </w:pPr>
      <w:r>
        <w:rPr>
          <w:rFonts w:hint="eastAsia" w:eastAsia="黑体"/>
          <w:bCs/>
          <w:color w:val="000000" w:themeColor="text1"/>
          <w:sz w:val="30"/>
          <w:szCs w:val="30"/>
          <w:lang w:bidi="en-US"/>
        </w:rPr>
        <w:t>以第三方物流企业为主导的农村物流运作模式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第三方物流运作模式是指随着农业生产资料和农产品市场化程度的提高，渐渐出现的专门从事农业生产资料和农产品储运、配送及流通加工等物流活动的中间组织。</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第三方物流运作模式是一种实现物流供应链集成的有效方法和策略。第三方物流不直接从事生产和销售活动，而是作为主导者联结着农业生产资料和农产品的生产和加工者、各级批发商、零售商、中介组织，并为顾客提供以合同为约束、以结盟为基础的系列化、个性化、信息化物流代理服务。农村第三方物流企业促进了流通与生产的分工合作，降低了流通成本，提高了流通效率。</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其具体组织模式如图4-4所示</w:t>
      </w:r>
    </w:p>
    <w:p>
      <w:pPr>
        <w:snapToGrid w:val="0"/>
        <w:spacing w:before="0" w:after="0" w:line="360" w:lineRule="auto"/>
        <w:ind w:left="577" w:hanging="576" w:hangingChars="206"/>
        <w:jc w:val="left"/>
        <w:rPr>
          <w:rFonts w:ascii="Times New Roman" w:hAnsi="Times New Roman"/>
          <w:color w:val="000000" w:themeColor="text1"/>
          <w:kern w:val="0"/>
          <w:sz w:val="28"/>
          <w:szCs w:val="24"/>
        </w:rPr>
      </w:pPr>
      <w:r>
        <w:rPr>
          <w:rFonts w:ascii="Times New Roman" w:hAnsi="Times New Roman"/>
          <w:color w:val="000000" w:themeColor="text1"/>
          <w:kern w:val="0"/>
          <w:sz w:val="28"/>
          <w:szCs w:val="24"/>
        </w:rPr>
        <w:drawing>
          <wp:inline distT="0" distB="0" distL="0" distR="0">
            <wp:extent cx="5267325" cy="2819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67325" cy="2819400"/>
                    </a:xfrm>
                    <a:prstGeom prst="rect">
                      <a:avLst/>
                    </a:prstGeom>
                  </pic:spPr>
                </pic:pic>
              </a:graphicData>
            </a:graphic>
          </wp:inline>
        </w:drawing>
      </w:r>
    </w:p>
    <w:p>
      <w:pPr>
        <w:pStyle w:val="7"/>
        <w:ind w:left="0" w:firstLine="0"/>
        <w:rPr>
          <w:rStyle w:val="29"/>
          <w:rFonts w:ascii="Times New Roman" w:hAnsi="Times New Roman" w:eastAsia="宋体"/>
          <w:b/>
          <w:bCs/>
          <w:color w:val="000000" w:themeColor="text1"/>
          <w:sz w:val="24"/>
          <w:szCs w:val="24"/>
        </w:rPr>
      </w:pPr>
      <w:r>
        <w:rPr>
          <w:rStyle w:val="29"/>
          <w:rFonts w:hint="eastAsia" w:ascii="Times New Roman" w:hAnsi="Times New Roman" w:eastAsia="宋体"/>
          <w:b/>
          <w:bCs/>
          <w:color w:val="000000" w:themeColor="text1"/>
          <w:sz w:val="24"/>
          <w:szCs w:val="24"/>
        </w:rPr>
        <w:t>图4-4</w:t>
      </w:r>
      <w:r>
        <w:rPr>
          <w:rStyle w:val="29"/>
          <w:rFonts w:hint="eastAsia"/>
          <w:b/>
          <w:bCs/>
          <w:color w:val="000000" w:themeColor="text1"/>
          <w:sz w:val="24"/>
          <w:szCs w:val="24"/>
        </w:rPr>
        <w:t xml:space="preserve"> </w:t>
      </w:r>
      <w:r>
        <w:rPr>
          <w:rStyle w:val="29"/>
          <w:rFonts w:hint="eastAsia" w:ascii="Times New Roman" w:hAnsi="Times New Roman" w:eastAsia="宋体"/>
          <w:b/>
          <w:bCs/>
          <w:color w:val="000000" w:themeColor="text1"/>
          <w:sz w:val="24"/>
          <w:szCs w:val="24"/>
        </w:rPr>
        <w:t>以第三方物流为主导的农村物流运作模式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该模式特点及适用条件：</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由于第三方物流与供应方和市场需求方是独立的，并且第三方物流企业一般有较为先进的物流技术和设施。因此，它能够根据不同的生产和市场需要制定物流体系和设计方案,提供储运、订单处理和物流信息系统等各具特色全方面、专业化、个性化的物流服务,提高服务满意度。</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（2）第三方物流运作模式的组织结构清晰，能够将物流服务计划和物流运作归集在一个权力和责任下，对整个物流过程进行战略管理，使有关部门在运作环节上进行直接沟通,提高效率。</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第三方物流运作模式是在物流信息网络化的基础之上进行的物流服务活动。通过第三方物流网络信息平台对来自生产方、销售方和第三方物流企业本身的物流信息有效处理，可以实现信息一体化的共享，从而有利于加强各物流主体间的协调和合作，对农村物流进行科学管理并有效地提高农村物流效益。</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4）在第三方物流运作模式中的第三方物流企业与供方和需求方之间是具有合同关系的合作者，这种关系有利于与客户之间的长期合作。但是在物流服务业务的合作中，第三方物流企业才是农产品或是农业生产资料的管理和配送等物流活动的主导者。这有利于降低成本、提高竞争力、寻找增值服务等的机会。</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5）该模式适用于经济较发达的县（市、区），具有以县域特色经济发展起来的产业集聚区，农村物流需求量大，能够吸引专业的第三方物流入驻，承担农村物流基础设施的建设、信息平台的搭建和网点的铺设。或者县（市、区）政府积极引导农村物流的发展，牵头并依托当地流通型企业建立专业的物流公司，规划农村物流发展网路。</w:t>
      </w:r>
    </w:p>
    <w:p>
      <w:pPr>
        <w:snapToGrid w:val="0"/>
        <w:spacing w:before="0" w:after="0" w:line="360" w:lineRule="auto"/>
        <w:ind w:left="0" w:firstLine="560" w:firstLineChars="200"/>
        <w:jc w:val="left"/>
        <w:rPr>
          <w:rFonts w:ascii="Times New Roman" w:hAnsi="Times New Roman"/>
          <w:color w:val="000000" w:themeColor="text1"/>
          <w:kern w:val="0"/>
          <w:sz w:val="28"/>
          <w:szCs w:val="24"/>
        </w:rPr>
      </w:pPr>
      <w:r>
        <w:rPr>
          <w:rFonts w:hint="eastAsia"/>
          <w:color w:val="000000" w:themeColor="text1"/>
          <w:kern w:val="0"/>
          <w:sz w:val="28"/>
        </w:rPr>
        <w:t>目前，第三方物流企业经营模式分化，直营与加盟共存，对比来看，两种模式各有优缺点，具体如表4-1所示</w:t>
      </w:r>
    </w:p>
    <w:p>
      <w:pPr>
        <w:snapToGrid w:val="0"/>
        <w:spacing w:before="0" w:after="0" w:line="360" w:lineRule="auto"/>
        <w:ind w:left="0" w:firstLine="482" w:firstLineChars="200"/>
        <w:jc w:val="center"/>
        <w:rPr>
          <w:rFonts w:ascii="Times New Roman" w:hAnsi="Times New Roman"/>
          <w:color w:val="000000" w:themeColor="text1"/>
          <w:kern w:val="0"/>
          <w:sz w:val="28"/>
          <w:szCs w:val="24"/>
        </w:rPr>
      </w:pPr>
      <w:r>
        <w:rPr>
          <w:rFonts w:hint="eastAsia" w:ascii="Times New Roman" w:hAnsi="Times New Roman"/>
          <w:b/>
          <w:color w:val="000000" w:themeColor="text1"/>
          <w:kern w:val="0"/>
          <w:sz w:val="24"/>
          <w:szCs w:val="24"/>
        </w:rPr>
        <w:t>表4-1两种经营模式的对比</w:t>
      </w:r>
    </w:p>
    <w:tbl>
      <w:tblPr>
        <w:tblStyle w:val="1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251"/>
        <w:gridCol w:w="1276"/>
        <w:gridCol w:w="1134"/>
        <w:gridCol w:w="113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trPr>
        <w:tc>
          <w:tcPr>
            <w:tcW w:w="834" w:type="dxa"/>
            <w:vAlign w:val="center"/>
          </w:tcPr>
          <w:p>
            <w:pPr>
              <w:spacing w:before="0" w:after="0" w:line="300" w:lineRule="auto"/>
              <w:ind w:left="0" w:firstLine="0"/>
              <w:jc w:val="center"/>
              <w:rPr>
                <w:rFonts w:ascii="Times New Roman" w:hAnsi="Times New Roman"/>
                <w:b/>
                <w:bCs/>
                <w:color w:val="000000" w:themeColor="text1"/>
                <w:kern w:val="0"/>
                <w:sz w:val="24"/>
                <w:szCs w:val="24"/>
              </w:rPr>
            </w:pPr>
            <w:r>
              <w:rPr>
                <w:rFonts w:hint="eastAsia" w:ascii="Times New Roman" w:hAnsi="Times New Roman"/>
                <w:b/>
                <w:bCs/>
                <w:color w:val="000000" w:themeColor="text1"/>
                <w:kern w:val="0"/>
                <w:sz w:val="24"/>
                <w:szCs w:val="24"/>
              </w:rPr>
              <w:t>经营模式</w:t>
            </w:r>
          </w:p>
        </w:tc>
        <w:tc>
          <w:tcPr>
            <w:tcW w:w="2251" w:type="dxa"/>
            <w:vAlign w:val="center"/>
          </w:tcPr>
          <w:p>
            <w:pPr>
              <w:spacing w:before="0" w:after="0" w:line="300" w:lineRule="auto"/>
              <w:jc w:val="center"/>
              <w:rPr>
                <w:rFonts w:ascii="Times New Roman" w:hAnsi="Times New Roman"/>
                <w:b/>
                <w:bCs/>
                <w:color w:val="000000" w:themeColor="text1"/>
                <w:kern w:val="0"/>
                <w:sz w:val="24"/>
                <w:szCs w:val="24"/>
              </w:rPr>
            </w:pPr>
            <w:r>
              <w:rPr>
                <w:rFonts w:hint="eastAsia" w:ascii="Times New Roman" w:hAnsi="Times New Roman"/>
                <w:b/>
                <w:bCs/>
                <w:color w:val="000000" w:themeColor="text1"/>
                <w:kern w:val="0"/>
                <w:sz w:val="24"/>
                <w:szCs w:val="24"/>
              </w:rPr>
              <w:t>节点管理</w:t>
            </w:r>
          </w:p>
        </w:tc>
        <w:tc>
          <w:tcPr>
            <w:tcW w:w="1276" w:type="dxa"/>
            <w:vAlign w:val="center"/>
          </w:tcPr>
          <w:p>
            <w:pPr>
              <w:spacing w:before="0" w:after="0" w:line="300" w:lineRule="auto"/>
              <w:jc w:val="center"/>
              <w:rPr>
                <w:rFonts w:ascii="Times New Roman" w:hAnsi="Times New Roman"/>
                <w:b/>
                <w:bCs/>
                <w:color w:val="000000" w:themeColor="text1"/>
                <w:kern w:val="0"/>
                <w:sz w:val="24"/>
                <w:szCs w:val="24"/>
              </w:rPr>
            </w:pPr>
            <w:r>
              <w:rPr>
                <w:rFonts w:hint="eastAsia" w:ascii="Times New Roman" w:hAnsi="Times New Roman"/>
                <w:b/>
                <w:bCs/>
                <w:color w:val="000000" w:themeColor="text1"/>
                <w:kern w:val="0"/>
                <w:sz w:val="24"/>
                <w:szCs w:val="24"/>
              </w:rPr>
              <w:t>成本</w:t>
            </w:r>
          </w:p>
        </w:tc>
        <w:tc>
          <w:tcPr>
            <w:tcW w:w="1134" w:type="dxa"/>
            <w:vAlign w:val="center"/>
          </w:tcPr>
          <w:p>
            <w:pPr>
              <w:spacing w:before="0" w:after="0" w:line="300" w:lineRule="auto"/>
              <w:ind w:left="34" w:hanging="34"/>
              <w:jc w:val="center"/>
              <w:rPr>
                <w:rFonts w:ascii="Times New Roman" w:hAnsi="Times New Roman"/>
                <w:b/>
                <w:bCs/>
                <w:color w:val="000000" w:themeColor="text1"/>
                <w:kern w:val="0"/>
                <w:sz w:val="24"/>
                <w:szCs w:val="24"/>
              </w:rPr>
            </w:pPr>
            <w:r>
              <w:rPr>
                <w:rFonts w:hint="eastAsia" w:ascii="Times New Roman" w:hAnsi="Times New Roman"/>
                <w:b/>
                <w:bCs/>
                <w:color w:val="000000" w:themeColor="text1"/>
                <w:kern w:val="0"/>
                <w:sz w:val="24"/>
                <w:szCs w:val="24"/>
              </w:rPr>
              <w:t>代表</w:t>
            </w:r>
          </w:p>
          <w:p>
            <w:pPr>
              <w:spacing w:before="0" w:after="0" w:line="300" w:lineRule="auto"/>
              <w:ind w:left="34" w:hanging="34"/>
              <w:jc w:val="center"/>
              <w:rPr>
                <w:rFonts w:ascii="Times New Roman" w:hAnsi="Times New Roman"/>
                <w:b/>
                <w:bCs/>
                <w:color w:val="000000" w:themeColor="text1"/>
                <w:kern w:val="0"/>
                <w:sz w:val="24"/>
                <w:szCs w:val="24"/>
              </w:rPr>
            </w:pPr>
            <w:r>
              <w:rPr>
                <w:rFonts w:hint="eastAsia" w:ascii="Times New Roman" w:hAnsi="Times New Roman"/>
                <w:b/>
                <w:bCs/>
                <w:color w:val="000000" w:themeColor="text1"/>
                <w:kern w:val="0"/>
                <w:sz w:val="24"/>
                <w:szCs w:val="24"/>
              </w:rPr>
              <w:t>企业</w:t>
            </w:r>
          </w:p>
        </w:tc>
        <w:tc>
          <w:tcPr>
            <w:tcW w:w="1134" w:type="dxa"/>
            <w:vAlign w:val="center"/>
          </w:tcPr>
          <w:p>
            <w:pPr>
              <w:spacing w:before="0" w:after="0" w:line="300" w:lineRule="auto"/>
              <w:jc w:val="center"/>
              <w:rPr>
                <w:rFonts w:ascii="Times New Roman" w:hAnsi="Times New Roman"/>
                <w:b/>
                <w:bCs/>
                <w:color w:val="000000" w:themeColor="text1"/>
                <w:kern w:val="0"/>
                <w:sz w:val="24"/>
                <w:szCs w:val="24"/>
              </w:rPr>
            </w:pPr>
            <w:r>
              <w:rPr>
                <w:rFonts w:hint="eastAsia" w:ascii="Times New Roman" w:hAnsi="Times New Roman"/>
                <w:b/>
                <w:bCs/>
                <w:color w:val="000000" w:themeColor="text1"/>
                <w:kern w:val="0"/>
                <w:sz w:val="24"/>
                <w:szCs w:val="24"/>
              </w:rPr>
              <w:t>优点</w:t>
            </w:r>
          </w:p>
        </w:tc>
        <w:tc>
          <w:tcPr>
            <w:tcW w:w="2126" w:type="dxa"/>
            <w:vAlign w:val="center"/>
          </w:tcPr>
          <w:p>
            <w:pPr>
              <w:spacing w:before="0" w:after="0" w:line="300" w:lineRule="auto"/>
              <w:jc w:val="center"/>
              <w:rPr>
                <w:rFonts w:ascii="Times New Roman" w:hAnsi="Times New Roman"/>
                <w:b/>
                <w:bCs/>
                <w:color w:val="000000" w:themeColor="text1"/>
                <w:kern w:val="0"/>
                <w:sz w:val="24"/>
                <w:szCs w:val="24"/>
              </w:rPr>
            </w:pPr>
            <w:r>
              <w:rPr>
                <w:rFonts w:hint="eastAsia" w:ascii="Times New Roman" w:hAnsi="Times New Roman"/>
                <w:b/>
                <w:bCs/>
                <w:color w:val="000000" w:themeColor="text1"/>
                <w:kern w:val="0"/>
                <w:sz w:val="24"/>
                <w:szCs w:val="24"/>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9" w:hRule="atLeast"/>
        </w:trPr>
        <w:tc>
          <w:tcPr>
            <w:tcW w:w="834"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直营模式</w:t>
            </w:r>
          </w:p>
        </w:tc>
        <w:tc>
          <w:tcPr>
            <w:tcW w:w="2251" w:type="dxa"/>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自上而下，快递企业自己投资建设运营其整个快递网络，包括分拨中心和各城市的网店等基础设施。</w:t>
            </w:r>
          </w:p>
        </w:tc>
        <w:tc>
          <w:tcPr>
            <w:tcW w:w="1276" w:type="dxa"/>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所有费用均由企业成本。</w:t>
            </w:r>
          </w:p>
        </w:tc>
        <w:tc>
          <w:tcPr>
            <w:tcW w:w="1134" w:type="dxa"/>
          </w:tcPr>
          <w:p>
            <w:pPr>
              <w:spacing w:before="0" w:after="0" w:line="360" w:lineRule="auto"/>
              <w:ind w:left="34" w:hanging="34"/>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邮政、顺丰、德邦等。</w:t>
            </w:r>
          </w:p>
        </w:tc>
        <w:tc>
          <w:tcPr>
            <w:tcW w:w="1134" w:type="dxa"/>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利于管理，便于企业保证快递服务的水准。</w:t>
            </w:r>
          </w:p>
        </w:tc>
        <w:tc>
          <w:tcPr>
            <w:tcW w:w="2126" w:type="dxa"/>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扩大网点覆盖率较为困难。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834"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加盟模式</w:t>
            </w:r>
          </w:p>
        </w:tc>
        <w:tc>
          <w:tcPr>
            <w:tcW w:w="2251" w:type="dxa"/>
          </w:tcPr>
          <w:p>
            <w:pPr>
              <w:spacing w:before="0" w:after="0" w:line="360" w:lineRule="auto"/>
              <w:ind w:left="17" w:hanging="17"/>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总部控制主要城区的转运、集散中心，其余皆交给地区加盟商负责，加盟者与被加盟者之间是独立的企业主体，通过加盟协议约束彼此行为。</w:t>
            </w:r>
          </w:p>
        </w:tc>
        <w:tc>
          <w:tcPr>
            <w:tcW w:w="1276" w:type="dxa"/>
          </w:tcPr>
          <w:p>
            <w:pPr>
              <w:spacing w:before="0" w:after="0" w:line="360" w:lineRule="auto"/>
              <w:ind w:left="34" w:hanging="34"/>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加盟商向总部购买面单、物料，支付中转费用（运输、分拣费等）。</w:t>
            </w:r>
          </w:p>
        </w:tc>
        <w:tc>
          <w:tcPr>
            <w:tcW w:w="1134" w:type="dxa"/>
          </w:tcPr>
          <w:p>
            <w:pPr>
              <w:spacing w:before="0" w:after="0" w:line="360" w:lineRule="auto"/>
              <w:ind w:left="34" w:hanging="34"/>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四通一达（中通、申通、圆通、百世汇通、韵达）等。</w:t>
            </w:r>
          </w:p>
        </w:tc>
        <w:tc>
          <w:tcPr>
            <w:tcW w:w="1134" w:type="dxa"/>
          </w:tcPr>
          <w:p>
            <w:pPr>
              <w:spacing w:before="0" w:after="0" w:line="360" w:lineRule="auto"/>
              <w:ind w:left="34" w:hanging="34"/>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低成本增强网店密度，满足较广的配送范围要求。</w:t>
            </w:r>
          </w:p>
        </w:tc>
        <w:tc>
          <w:tcPr>
            <w:tcW w:w="2126" w:type="dxa"/>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监管不足，管理难度大，例如客户资源集中在地方加盟商手中，随时可以单干或他投；业务流程不规范；服务质量和运输价格难以统一等。</w:t>
            </w:r>
          </w:p>
        </w:tc>
      </w:tr>
    </w:tbl>
    <w:p>
      <w:pPr>
        <w:pStyle w:val="4"/>
        <w:widowControl/>
        <w:numPr>
          <w:ilvl w:val="2"/>
          <w:numId w:val="2"/>
        </w:numPr>
        <w:spacing w:before="240" w:after="60" w:line="240" w:lineRule="auto"/>
        <w:ind w:left="720"/>
        <w:jc w:val="left"/>
        <w:rPr>
          <w:rFonts w:eastAsia="黑体"/>
          <w:bCs/>
          <w:color w:val="000000" w:themeColor="text1"/>
          <w:sz w:val="30"/>
          <w:szCs w:val="30"/>
          <w:lang w:bidi="en-US"/>
        </w:rPr>
      </w:pPr>
      <w:r>
        <w:rPr>
          <w:rFonts w:hint="eastAsia" w:eastAsia="黑体"/>
          <w:bCs/>
          <w:color w:val="000000" w:themeColor="text1"/>
          <w:sz w:val="30"/>
          <w:szCs w:val="30"/>
          <w:lang w:bidi="en-US"/>
        </w:rPr>
        <w:t>以物流中心（货运场站）为主导的物流模式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农村物流中心是以农产品批发市场、特色区域产业集聚区、大宗农副产品生产基地为依托，吸引专业的第三方物流企业入驻中心，形成运输、配送、仓储、流通加工等多种物流功能为一体的中心经营模式。它是区域农村物流中心，吸收来自农户、区域企业的货物进入物流中心，通过专业的第三方物流企业运输配送到目的地，并为农户及其他企业配送来自城市的农资、日用消费品以及其他工业品等。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其具体组织模式如图4-5所示。</w:t>
      </w:r>
    </w:p>
    <w:p>
      <w:pPr>
        <w:snapToGrid w:val="0"/>
        <w:spacing w:before="0" w:after="0" w:line="360" w:lineRule="auto"/>
        <w:ind w:left="577" w:hanging="576" w:hangingChars="206"/>
        <w:jc w:val="left"/>
        <w:rPr>
          <w:color w:val="000000" w:themeColor="text1"/>
          <w:kern w:val="0"/>
          <w:sz w:val="28"/>
        </w:rPr>
      </w:pPr>
      <w:r>
        <w:rPr>
          <w:color w:val="000000" w:themeColor="text1"/>
          <w:kern w:val="0"/>
          <w:sz w:val="28"/>
        </w:rPr>
        <w:drawing>
          <wp:inline distT="0" distB="0" distL="0" distR="0">
            <wp:extent cx="5339080" cy="170116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39080" cy="1701165"/>
                    </a:xfrm>
                    <a:prstGeom prst="rect">
                      <a:avLst/>
                    </a:prstGeom>
                  </pic:spPr>
                </pic:pic>
              </a:graphicData>
            </a:graphic>
          </wp:inline>
        </w:drawing>
      </w:r>
    </w:p>
    <w:p>
      <w:pPr>
        <w:ind w:left="0" w:firstLine="0"/>
        <w:jc w:val="center"/>
        <w:rPr>
          <w:rFonts w:ascii="Times New Roman" w:hAnsi="Times New Roman"/>
          <w:b/>
          <w:color w:val="000000" w:themeColor="text1"/>
          <w:kern w:val="0"/>
          <w:sz w:val="24"/>
          <w:szCs w:val="24"/>
        </w:rPr>
      </w:pPr>
      <w:r>
        <w:rPr>
          <w:rFonts w:hint="eastAsia" w:ascii="Times New Roman" w:hAnsi="Times New Roman"/>
          <w:b/>
          <w:color w:val="000000" w:themeColor="text1"/>
          <w:kern w:val="0"/>
          <w:sz w:val="24"/>
          <w:szCs w:val="24"/>
        </w:rPr>
        <w:t>图4-5以物流中心（货运场站）为主导的物流模式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该模式的特点</w:t>
      </w:r>
      <w:bookmarkStart w:id="36" w:name="_Hlk528522031"/>
      <w:r>
        <w:rPr>
          <w:rFonts w:hint="eastAsia"/>
          <w:color w:val="000000" w:themeColor="text1"/>
          <w:kern w:val="0"/>
          <w:sz w:val="28"/>
        </w:rPr>
        <w:t>及</w:t>
      </w:r>
      <w:bookmarkEnd w:id="36"/>
      <w:r>
        <w:rPr>
          <w:rFonts w:hint="eastAsia"/>
          <w:color w:val="000000" w:themeColor="text1"/>
          <w:kern w:val="0"/>
          <w:sz w:val="28"/>
        </w:rPr>
        <w:t>适用条件：</w:t>
      </w:r>
    </w:p>
    <w:p>
      <w:pPr>
        <w:snapToGrid w:val="0"/>
        <w:spacing w:before="0" w:after="0" w:line="360" w:lineRule="auto"/>
        <w:ind w:left="0" w:firstLine="560" w:firstLineChars="200"/>
        <w:jc w:val="left"/>
        <w:rPr>
          <w:color w:val="000000" w:themeColor="text1"/>
          <w:kern w:val="0"/>
          <w:sz w:val="28"/>
        </w:rPr>
      </w:pPr>
      <w:bookmarkStart w:id="37" w:name="_Hlk528521970"/>
      <w:r>
        <w:rPr>
          <w:rFonts w:hint="eastAsia"/>
          <w:color w:val="000000" w:themeColor="text1"/>
          <w:kern w:val="0"/>
          <w:sz w:val="28"/>
        </w:rPr>
        <w:t>（</w:t>
      </w:r>
      <w:bookmarkEnd w:id="37"/>
      <w:r>
        <w:rPr>
          <w:rFonts w:hint="eastAsia"/>
          <w:color w:val="000000" w:themeColor="text1"/>
          <w:kern w:val="0"/>
          <w:sz w:val="28"/>
        </w:rPr>
        <w:t>1）物流中心具有建设周期长、投资大、风险高的缺点，是以第三方物流企业的快速成长和物流市场的壮大作为发展前提。因此，物流中心的建设发展应与区域经济发展相适应，切不可盲目建设。</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这种模式构建县（市、区）物流中心——乡镇物流站——村级物流点的三级交通农村物流体系。区域农村物流服务中心的功能是整个周边物资资源，形成货物集散中心，通过分类整理信息数据库的信息，调度配送车辆，为物流企业和货运配送站、点提供运力调配、信息发布、业务对接等方面的综合服务。</w:t>
      </w:r>
    </w:p>
    <w:p>
      <w:pPr>
        <w:snapToGrid w:val="0"/>
        <w:spacing w:before="0" w:after="0" w:line="360" w:lineRule="auto"/>
        <w:ind w:left="0" w:firstLine="560" w:firstLineChars="200"/>
        <w:jc w:val="left"/>
        <w:rPr>
          <w:rFonts w:ascii="Times New Roman" w:hAnsi="Times New Roman"/>
          <w:color w:val="000000" w:themeColor="text1"/>
          <w:kern w:val="0"/>
          <w:sz w:val="28"/>
          <w:szCs w:val="24"/>
        </w:rPr>
      </w:pPr>
      <w:r>
        <w:rPr>
          <w:rFonts w:hint="eastAsia"/>
          <w:color w:val="000000" w:themeColor="text1"/>
          <w:kern w:val="0"/>
          <w:sz w:val="28"/>
        </w:rPr>
        <w:t>（3）该模式需要以政府为主导，通过政策鼓励现代物流、连锁经营、电子商务等新型组织发展模式，建立专业的农村物流中心。</w:t>
      </w:r>
    </w:p>
    <w:p>
      <w:pPr>
        <w:pStyle w:val="3"/>
        <w:numPr>
          <w:ilvl w:val="1"/>
          <w:numId w:val="2"/>
        </w:numPr>
        <w:ind w:left="783"/>
        <w:jc w:val="center"/>
        <w:rPr>
          <w:rFonts w:ascii="Times New Roman" w:hAnsi="Times New Roman"/>
          <w:color w:val="000000" w:themeColor="text1"/>
        </w:rPr>
      </w:pPr>
      <w:bookmarkStart w:id="38" w:name="_Toc528526463"/>
      <w:r>
        <w:rPr>
          <w:rFonts w:hint="eastAsia" w:ascii="Times New Roman" w:hAnsi="Times New Roman"/>
          <w:color w:val="000000" w:themeColor="text1"/>
        </w:rPr>
        <w:t>泉州台商投资区农村物流网络体系站点的选择方法</w:t>
      </w:r>
      <w:bookmarkEnd w:id="38"/>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泉州</w:t>
      </w:r>
      <w:r>
        <w:rPr>
          <w:color w:val="000000" w:themeColor="text1"/>
          <w:kern w:val="0"/>
          <w:sz w:val="28"/>
        </w:rPr>
        <w:t>台商投资区的</w:t>
      </w:r>
      <w:r>
        <w:rPr>
          <w:rFonts w:hint="eastAsia"/>
          <w:color w:val="000000" w:themeColor="text1"/>
          <w:kern w:val="0"/>
          <w:sz w:val="28"/>
        </w:rPr>
        <w:t>农村</w:t>
      </w:r>
      <w:r>
        <w:rPr>
          <w:color w:val="000000" w:themeColor="text1"/>
          <w:kern w:val="0"/>
          <w:sz w:val="28"/>
        </w:rPr>
        <w:t>物流的配送产品</w:t>
      </w:r>
      <w:r>
        <w:rPr>
          <w:rFonts w:hint="eastAsia"/>
          <w:color w:val="000000" w:themeColor="text1"/>
          <w:kern w:val="0"/>
          <w:sz w:val="28"/>
        </w:rPr>
        <w:t>除</w:t>
      </w:r>
      <w:r>
        <w:rPr>
          <w:color w:val="000000" w:themeColor="text1"/>
          <w:kern w:val="0"/>
          <w:sz w:val="28"/>
        </w:rPr>
        <w:t>下行物流的社会消费品外</w:t>
      </w:r>
      <w:r>
        <w:rPr>
          <w:rFonts w:hint="eastAsia"/>
          <w:color w:val="000000" w:themeColor="text1"/>
          <w:kern w:val="0"/>
          <w:sz w:val="28"/>
        </w:rPr>
        <w:t>还</w:t>
      </w:r>
      <w:r>
        <w:rPr>
          <w:color w:val="000000" w:themeColor="text1"/>
          <w:kern w:val="0"/>
          <w:sz w:val="28"/>
        </w:rPr>
        <w:t>包括特产农产品</w:t>
      </w:r>
      <w:r>
        <w:rPr>
          <w:rFonts w:hint="eastAsia"/>
          <w:color w:val="000000" w:themeColor="text1"/>
          <w:kern w:val="0"/>
          <w:sz w:val="28"/>
        </w:rPr>
        <w:t>及工业产品（主要以纺织鞋帽类及工艺品类为主）的上行物流。因此在站点选择上充分考虑这些产品的特点，并坚持市场主导、政府引导，支持各地开展交通、农业、商务、供销、邮政等部门间的合作，共同推进农村物流融合发展。充分调动骨干物流企业的积极性和主动性，鼓励企业创新农村物流节点运营管理模式，鼓励站场经营主体加快创新农村物流站场运营管理模式，按照“多方合作、共建共管、联营合作、利益共享”的原则，加强与农村商贸流通、供销合作、电商快递以及农产品经销、农资配送、农村合作社等市场主体的深入合作，提高资源集约利用效率，促进价值链、供应链、产业链协同创新，构建区、乡、村的三级农村物流网络体系（如图4-6所示）。在城区建立农村物流中心，乡镇建立物流服务站，行政村设立物流服务点，形成以物流中心为龙头，乡镇物流服务站为骨干，村级物流服务点为节点的农村物流运营体系，分工明确，规范运作，高效便民。</w:t>
      </w:r>
    </w:p>
    <w:p>
      <w:pPr>
        <w:snapToGrid w:val="0"/>
        <w:spacing w:before="0" w:after="0" w:line="360" w:lineRule="auto"/>
        <w:ind w:left="0" w:firstLine="0"/>
        <w:jc w:val="center"/>
        <w:rPr>
          <w:color w:val="000000" w:themeColor="text1"/>
          <w:kern w:val="0"/>
          <w:sz w:val="28"/>
        </w:rPr>
      </w:pPr>
      <w:r>
        <w:rPr>
          <w:color w:val="000000" w:themeColor="text1"/>
          <w:kern w:val="0"/>
          <w:sz w:val="28"/>
        </w:rPr>
        <w:drawing>
          <wp:inline distT="0" distB="0" distL="0" distR="0">
            <wp:extent cx="4962525" cy="2326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58397" cy="2324101"/>
                    </a:xfrm>
                    <a:prstGeom prst="rect">
                      <a:avLst/>
                    </a:prstGeom>
                  </pic:spPr>
                </pic:pic>
              </a:graphicData>
            </a:graphic>
          </wp:inline>
        </w:drawing>
      </w:r>
    </w:p>
    <w:p>
      <w:pPr>
        <w:snapToGrid w:val="0"/>
        <w:spacing w:before="0" w:after="0" w:line="360" w:lineRule="auto"/>
        <w:ind w:left="0" w:firstLine="0"/>
        <w:jc w:val="center"/>
        <w:rPr>
          <w:color w:val="000000" w:themeColor="text1"/>
          <w:kern w:val="0"/>
          <w:sz w:val="28"/>
        </w:rPr>
      </w:pPr>
      <w:r>
        <w:rPr>
          <w:rFonts w:hint="eastAsia" w:ascii="Times New Roman" w:hAnsi="Times New Roman"/>
          <w:b/>
          <w:color w:val="000000" w:themeColor="text1"/>
          <w:kern w:val="0"/>
          <w:sz w:val="24"/>
          <w:szCs w:val="24"/>
        </w:rPr>
        <w:t>图4-6 区、乡、村的三级农村物流网络体系</w:t>
      </w:r>
    </w:p>
    <w:p>
      <w:pPr>
        <w:pStyle w:val="4"/>
        <w:widowControl/>
        <w:numPr>
          <w:ilvl w:val="2"/>
          <w:numId w:val="2"/>
        </w:numPr>
        <w:snapToGrid w:val="0"/>
        <w:spacing w:before="0" w:after="0" w:line="360" w:lineRule="auto"/>
        <w:ind w:left="0" w:firstLine="0"/>
        <w:jc w:val="left"/>
        <w:rPr>
          <w:rFonts w:eastAsia="黑体"/>
          <w:bCs/>
          <w:color w:val="000000" w:themeColor="text1"/>
          <w:sz w:val="30"/>
          <w:szCs w:val="30"/>
          <w:lang w:bidi="en-US"/>
        </w:rPr>
      </w:pPr>
      <w:r>
        <w:rPr>
          <w:rFonts w:eastAsia="黑体"/>
          <w:bCs/>
          <w:color w:val="000000" w:themeColor="text1"/>
          <w:sz w:val="30"/>
          <w:szCs w:val="30"/>
          <w:lang w:bidi="en-US"/>
        </w:rPr>
        <w:t>区级站点的选择</w:t>
      </w:r>
    </w:p>
    <w:p>
      <w:pPr>
        <w:snapToGrid w:val="0"/>
        <w:spacing w:before="0" w:after="0" w:line="360" w:lineRule="auto"/>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在区</w:t>
      </w:r>
      <w:r>
        <w:rPr>
          <w:rFonts w:ascii="宋体" w:hAnsi="宋体" w:cs="宋体"/>
          <w:color w:val="000000" w:themeColor="text1"/>
          <w:sz w:val="28"/>
          <w:szCs w:val="28"/>
        </w:rPr>
        <w:t>级</w:t>
      </w:r>
      <w:r>
        <w:rPr>
          <w:rFonts w:hint="eastAsia" w:ascii="宋体" w:hAnsi="宋体" w:cs="宋体"/>
          <w:color w:val="000000" w:themeColor="text1"/>
          <w:sz w:val="28"/>
          <w:szCs w:val="28"/>
        </w:rPr>
        <w:t>这个</w:t>
      </w:r>
      <w:r>
        <w:rPr>
          <w:rFonts w:ascii="宋体" w:hAnsi="宋体" w:cs="宋体"/>
          <w:color w:val="000000" w:themeColor="text1"/>
          <w:sz w:val="28"/>
          <w:szCs w:val="28"/>
        </w:rPr>
        <w:t>层次根据泉州投资区</w:t>
      </w:r>
      <w:r>
        <w:rPr>
          <w:rFonts w:hint="eastAsia" w:ascii="宋体" w:hAnsi="宋体" w:cs="宋体"/>
          <w:color w:val="000000" w:themeColor="text1"/>
          <w:sz w:val="28"/>
          <w:szCs w:val="28"/>
        </w:rPr>
        <w:t>物流</w:t>
      </w:r>
      <w:r>
        <w:rPr>
          <w:rFonts w:ascii="宋体" w:hAnsi="宋体" w:cs="宋体"/>
          <w:color w:val="000000" w:themeColor="text1"/>
          <w:sz w:val="28"/>
          <w:szCs w:val="28"/>
        </w:rPr>
        <w:t>发展的</w:t>
      </w:r>
      <w:r>
        <w:rPr>
          <w:rFonts w:hint="eastAsia" w:ascii="宋体" w:hAnsi="宋体" w:cs="宋体"/>
          <w:color w:val="000000" w:themeColor="text1"/>
          <w:sz w:val="28"/>
          <w:szCs w:val="28"/>
        </w:rPr>
        <w:t>现状</w:t>
      </w:r>
      <w:r>
        <w:rPr>
          <w:rFonts w:ascii="宋体" w:hAnsi="宋体" w:cs="宋体"/>
          <w:color w:val="000000" w:themeColor="text1"/>
          <w:sz w:val="28"/>
          <w:szCs w:val="28"/>
        </w:rPr>
        <w:t>可以</w:t>
      </w:r>
      <w:r>
        <w:rPr>
          <w:rFonts w:hint="eastAsia" w:ascii="宋体" w:hAnsi="宋体" w:cs="宋体"/>
          <w:color w:val="000000" w:themeColor="text1"/>
          <w:sz w:val="28"/>
          <w:szCs w:val="28"/>
        </w:rPr>
        <w:t>选择大型</w:t>
      </w:r>
      <w:r>
        <w:rPr>
          <w:rFonts w:ascii="宋体" w:hAnsi="宋体" w:cs="宋体"/>
          <w:color w:val="000000" w:themeColor="text1"/>
          <w:sz w:val="28"/>
          <w:szCs w:val="28"/>
        </w:rPr>
        <w:t>物流公司进行合作，</w:t>
      </w:r>
      <w:r>
        <w:rPr>
          <w:rFonts w:hint="eastAsia" w:ascii="宋体" w:hAnsi="宋体" w:cs="宋体"/>
          <w:color w:val="000000" w:themeColor="text1"/>
          <w:sz w:val="28"/>
          <w:szCs w:val="28"/>
        </w:rPr>
        <w:t>作为大宗</w:t>
      </w:r>
      <w:r>
        <w:rPr>
          <w:rFonts w:ascii="宋体" w:hAnsi="宋体" w:cs="宋体"/>
          <w:color w:val="000000" w:themeColor="text1"/>
          <w:sz w:val="28"/>
          <w:szCs w:val="28"/>
        </w:rPr>
        <w:t>农产品</w:t>
      </w:r>
      <w:r>
        <w:rPr>
          <w:rFonts w:hint="eastAsia" w:ascii="宋体" w:hAnsi="宋体" w:cs="宋体"/>
          <w:color w:val="000000" w:themeColor="text1"/>
          <w:sz w:val="28"/>
          <w:szCs w:val="28"/>
        </w:rPr>
        <w:t>上行</w:t>
      </w:r>
      <w:r>
        <w:rPr>
          <w:rFonts w:ascii="宋体" w:hAnsi="宋体" w:cs="宋体"/>
          <w:color w:val="000000" w:themeColor="text1"/>
          <w:sz w:val="28"/>
          <w:szCs w:val="28"/>
        </w:rPr>
        <w:t>物流的</w:t>
      </w:r>
      <w:r>
        <w:rPr>
          <w:rFonts w:hint="eastAsia" w:ascii="宋体" w:hAnsi="宋体" w:cs="宋体"/>
          <w:color w:val="000000" w:themeColor="text1"/>
          <w:sz w:val="28"/>
          <w:szCs w:val="28"/>
        </w:rPr>
        <w:t>节点</w:t>
      </w:r>
      <w:r>
        <w:rPr>
          <w:rFonts w:ascii="宋体" w:hAnsi="宋体" w:cs="宋体"/>
          <w:color w:val="000000" w:themeColor="text1"/>
          <w:sz w:val="28"/>
          <w:szCs w:val="28"/>
        </w:rPr>
        <w:t>。同时</w:t>
      </w:r>
      <w:r>
        <w:rPr>
          <w:rFonts w:hint="eastAsia" w:ascii="宋体" w:hAnsi="宋体" w:cs="宋体"/>
          <w:color w:val="000000" w:themeColor="text1"/>
          <w:sz w:val="28"/>
          <w:szCs w:val="28"/>
        </w:rPr>
        <w:t>也</w:t>
      </w:r>
      <w:r>
        <w:rPr>
          <w:rFonts w:ascii="宋体" w:hAnsi="宋体" w:cs="宋体"/>
          <w:color w:val="000000" w:themeColor="text1"/>
          <w:sz w:val="28"/>
          <w:szCs w:val="28"/>
        </w:rPr>
        <w:t>可以依托</w:t>
      </w:r>
      <w:r>
        <w:rPr>
          <w:rFonts w:hint="eastAsia" w:ascii="宋体" w:hAnsi="宋体" w:cs="宋体"/>
          <w:color w:val="000000" w:themeColor="text1"/>
          <w:sz w:val="28"/>
          <w:szCs w:val="28"/>
        </w:rPr>
        <w:t>公路货运站场等，建设（改造）区级农村物流中心，加强与商贸市场、农资中心、邮政集散中心等的衔接与融合建立农村物流中心，形成仓储、运输配送、物流信息及综合服务为一体的四大农村物流系统。除此之外台商投资区有大量的海产品的上行物流需求，因此建议和专业的冷链物流公司建立战略合作。</w:t>
      </w:r>
    </w:p>
    <w:p>
      <w:pPr>
        <w:pStyle w:val="4"/>
        <w:widowControl/>
        <w:numPr>
          <w:ilvl w:val="2"/>
          <w:numId w:val="2"/>
        </w:numPr>
        <w:snapToGrid w:val="0"/>
        <w:spacing w:before="0" w:after="0" w:line="360" w:lineRule="auto"/>
        <w:ind w:left="0" w:firstLine="0"/>
        <w:jc w:val="left"/>
        <w:rPr>
          <w:rFonts w:eastAsia="黑体"/>
          <w:bCs/>
          <w:color w:val="000000" w:themeColor="text1"/>
          <w:sz w:val="30"/>
          <w:szCs w:val="30"/>
          <w:lang w:bidi="en-US"/>
        </w:rPr>
      </w:pPr>
      <w:r>
        <w:rPr>
          <w:rFonts w:eastAsia="黑体"/>
          <w:bCs/>
          <w:color w:val="000000" w:themeColor="text1"/>
          <w:sz w:val="30"/>
          <w:szCs w:val="30"/>
          <w:lang w:bidi="en-US"/>
        </w:rPr>
        <w:t>乡镇级站点的选择</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目前台商投资区的各个乡镇均建有</w:t>
      </w:r>
      <w:r>
        <w:rPr>
          <w:rFonts w:hint="eastAsia"/>
          <w:color w:val="FF0000"/>
          <w:kern w:val="0"/>
          <w:sz w:val="28"/>
        </w:rPr>
        <w:t>客运站</w:t>
      </w:r>
      <w:r>
        <w:rPr>
          <w:rFonts w:hint="eastAsia"/>
          <w:color w:val="FF0000"/>
          <w:kern w:val="0"/>
          <w:sz w:val="28"/>
          <w:lang w:val="en-US" w:eastAsia="zh-CN"/>
        </w:rPr>
        <w:t>点</w:t>
      </w:r>
      <w:r>
        <w:rPr>
          <w:rFonts w:hint="eastAsia"/>
          <w:color w:val="000000" w:themeColor="text1"/>
          <w:kern w:val="0"/>
          <w:sz w:val="28"/>
        </w:rPr>
        <w:t>，邮政局、电商服务中心等，因此可以主要依托乡镇农村</w:t>
      </w:r>
      <w:r>
        <w:rPr>
          <w:rFonts w:hint="eastAsia"/>
          <w:color w:val="FF0000"/>
          <w:kern w:val="0"/>
          <w:sz w:val="28"/>
        </w:rPr>
        <w:t>客运站</w:t>
      </w:r>
      <w:r>
        <w:rPr>
          <w:rFonts w:hint="eastAsia"/>
          <w:color w:val="FF0000"/>
          <w:kern w:val="0"/>
          <w:sz w:val="28"/>
          <w:lang w:val="en-US" w:eastAsia="zh-CN"/>
        </w:rPr>
        <w:t>点</w:t>
      </w:r>
      <w:r>
        <w:rPr>
          <w:rFonts w:hint="eastAsia"/>
          <w:color w:val="000000" w:themeColor="text1"/>
          <w:kern w:val="0"/>
          <w:sz w:val="28"/>
        </w:rPr>
        <w:t>、电商服务中心、邮政局（所）和</w:t>
      </w:r>
      <w:r>
        <w:rPr>
          <w:rFonts w:hint="eastAsia"/>
          <w:color w:val="FF0000"/>
          <w:kern w:val="0"/>
          <w:sz w:val="28"/>
          <w:lang w:val="en-US" w:eastAsia="zh-CN"/>
        </w:rPr>
        <w:t>供销社</w:t>
      </w:r>
      <w:r>
        <w:rPr>
          <w:rFonts w:hint="eastAsia"/>
          <w:color w:val="000000" w:themeColor="text1"/>
          <w:kern w:val="0"/>
          <w:sz w:val="28"/>
        </w:rPr>
        <w:t>等，升级改造建设乡镇物流服务站，实现功能叠加和多站合一，乡镇物流场站在整个运营网络中起到承上启下的作用，乡镇农村物流服务站功能应涵盖快递收寄、电商服务、信息采集、便民服务等基本功能，同时还具备短时保管和接取送达功能。</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除此之外</w:t>
      </w:r>
      <w:r>
        <w:rPr>
          <w:rFonts w:hint="eastAsia"/>
          <w:color w:val="000000" w:themeColor="text1"/>
          <w:kern w:val="0"/>
          <w:sz w:val="28"/>
        </w:rPr>
        <w:t>，台投区各乡镇物流场服务站的建设釆取政策引导，资金鼓励等办法，引导第三方物流企业合理开设服务站等形式。</w:t>
      </w:r>
    </w:p>
    <w:p>
      <w:pPr>
        <w:pStyle w:val="4"/>
        <w:widowControl/>
        <w:numPr>
          <w:ilvl w:val="2"/>
          <w:numId w:val="2"/>
        </w:numPr>
        <w:snapToGrid w:val="0"/>
        <w:spacing w:before="0" w:after="0" w:line="360" w:lineRule="auto"/>
        <w:ind w:left="0" w:firstLine="0"/>
        <w:jc w:val="left"/>
        <w:rPr>
          <w:rFonts w:eastAsia="黑体"/>
          <w:bCs/>
          <w:color w:val="000000" w:themeColor="text1"/>
          <w:sz w:val="30"/>
          <w:szCs w:val="30"/>
          <w:lang w:bidi="en-US"/>
        </w:rPr>
      </w:pPr>
      <w:r>
        <w:rPr>
          <w:rFonts w:eastAsia="黑体"/>
          <w:bCs/>
          <w:color w:val="000000" w:themeColor="text1"/>
          <w:sz w:val="30"/>
          <w:szCs w:val="30"/>
          <w:lang w:bidi="en-US"/>
        </w:rPr>
        <w:t>村级站点的选择</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针对大宗农产品</w:t>
      </w:r>
      <w:r>
        <w:rPr>
          <w:rFonts w:hint="eastAsia"/>
          <w:color w:val="000000" w:themeColor="text1"/>
          <w:kern w:val="0"/>
          <w:sz w:val="28"/>
        </w:rPr>
        <w:t>，</w:t>
      </w:r>
      <w:r>
        <w:rPr>
          <w:color w:val="000000" w:themeColor="text1"/>
          <w:kern w:val="0"/>
          <w:sz w:val="28"/>
        </w:rPr>
        <w:t>首先可以选择大型农产品的生产厂家作为村级站点</w:t>
      </w:r>
      <w:r>
        <w:rPr>
          <w:rFonts w:hint="eastAsia"/>
          <w:color w:val="000000" w:themeColor="text1"/>
          <w:kern w:val="0"/>
          <w:sz w:val="28"/>
        </w:rPr>
        <w:t>。针对社会零售消费品可以选择农家店（超市）、农村综合服务社、村邮站、农村电商服务点、农产品购销代办站、村委会等机构作为村级站点。</w:t>
      </w:r>
    </w:p>
    <w:p>
      <w:pPr>
        <w:snapToGrid w:val="0"/>
        <w:spacing w:before="0" w:after="0" w:line="360" w:lineRule="auto"/>
        <w:ind w:left="0" w:firstLine="560" w:firstLineChars="200"/>
        <w:jc w:val="left"/>
        <w:rPr>
          <w:color w:val="000000" w:themeColor="text1"/>
          <w:kern w:val="0"/>
          <w:sz w:val="28"/>
          <w:szCs w:val="24"/>
        </w:rPr>
      </w:pPr>
      <w:r>
        <w:rPr>
          <w:rFonts w:hint="eastAsia"/>
          <w:color w:val="000000" w:themeColor="text1"/>
          <w:kern w:val="0"/>
          <w:sz w:val="28"/>
        </w:rPr>
        <w:t>在台商投资区村级农村物流服务点以农产品收货为主，涵盖快递收寄、电商服务、信息采集、便民服务等基本功能。村级农村物流服务点的运营可以选择当地有较强经济实力、具备电脑和互联网操作技能的个人作为合伙人，或者引入第三方物流企业，建立一家物流企业牵头，多家物流企业协作的第三方物流联盟模式，第三方物流企业之间以契约形式结成战略联盟，实行联盟成员间的协作与信息共享，形成第三方物流网络系统，实现农产品物流的规模化和网络化。</w:t>
      </w:r>
    </w:p>
    <w:p>
      <w:pPr>
        <w:pStyle w:val="3"/>
        <w:numPr>
          <w:ilvl w:val="1"/>
          <w:numId w:val="2"/>
        </w:numPr>
        <w:ind w:left="578" w:hanging="578"/>
        <w:jc w:val="left"/>
        <w:rPr>
          <w:rFonts w:ascii="Times New Roman" w:hAnsi="Times New Roman"/>
          <w:color w:val="000000" w:themeColor="text1"/>
        </w:rPr>
      </w:pPr>
      <w:bookmarkStart w:id="39" w:name="_Toc527880068"/>
      <w:bookmarkStart w:id="40" w:name="_Toc528526464"/>
      <w:r>
        <w:rPr>
          <w:rFonts w:hint="eastAsia" w:ascii="Times New Roman" w:hAnsi="Times New Roman"/>
          <w:color w:val="000000" w:themeColor="text1"/>
        </w:rPr>
        <w:t>泉州台商投资区农村物流网络体系</w:t>
      </w:r>
      <w:bookmarkEnd w:id="39"/>
      <w:r>
        <w:rPr>
          <w:rFonts w:hint="eastAsia" w:ascii="Times New Roman" w:hAnsi="Times New Roman"/>
          <w:color w:val="000000" w:themeColor="text1"/>
        </w:rPr>
        <w:t>配送模式的选择</w:t>
      </w:r>
      <w:bookmarkEnd w:id="40"/>
    </w:p>
    <w:p>
      <w:pPr>
        <w:pStyle w:val="4"/>
        <w:widowControl/>
        <w:numPr>
          <w:ilvl w:val="2"/>
          <w:numId w:val="2"/>
        </w:numPr>
        <w:snapToGrid w:val="0"/>
        <w:spacing w:before="0" w:after="0" w:line="360" w:lineRule="auto"/>
        <w:ind w:left="0" w:firstLine="0"/>
        <w:jc w:val="left"/>
        <w:rPr>
          <w:color w:val="000000" w:themeColor="text1"/>
          <w:sz w:val="28"/>
        </w:rPr>
      </w:pPr>
      <w:bookmarkStart w:id="41" w:name="_Toc464978332"/>
      <w:r>
        <w:rPr>
          <w:rFonts w:hint="eastAsia" w:eastAsia="黑体"/>
          <w:bCs/>
          <w:color w:val="000000" w:themeColor="text1"/>
          <w:sz w:val="30"/>
          <w:szCs w:val="30"/>
          <w:lang w:bidi="en-US"/>
        </w:rPr>
        <w:t>第三方物流配送</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泉州台商投资区的农产品及特色工业品均有一个特点</w:t>
      </w:r>
      <w:r>
        <w:rPr>
          <w:rFonts w:hint="eastAsia"/>
          <w:color w:val="000000" w:themeColor="text1"/>
          <w:kern w:val="0"/>
          <w:sz w:val="28"/>
        </w:rPr>
        <w:t>，</w:t>
      </w:r>
      <w:r>
        <w:rPr>
          <w:color w:val="000000" w:themeColor="text1"/>
          <w:kern w:val="0"/>
          <w:sz w:val="28"/>
        </w:rPr>
        <w:t>生产者众多</w:t>
      </w:r>
      <w:r>
        <w:rPr>
          <w:rFonts w:hint="eastAsia"/>
          <w:color w:val="000000" w:themeColor="text1"/>
          <w:kern w:val="0"/>
          <w:sz w:val="28"/>
        </w:rPr>
        <w:t>，</w:t>
      </w:r>
      <w:r>
        <w:rPr>
          <w:color w:val="000000" w:themeColor="text1"/>
          <w:kern w:val="0"/>
          <w:sz w:val="28"/>
        </w:rPr>
        <w:t>每个生产者量小</w:t>
      </w:r>
      <w:r>
        <w:rPr>
          <w:rFonts w:hint="eastAsia"/>
          <w:color w:val="000000" w:themeColor="text1"/>
          <w:kern w:val="0"/>
          <w:sz w:val="28"/>
        </w:rPr>
        <w:t>，因此选用第三方物流配送，可以既发挥自己的优势又发挥物流的专业优势。</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目前台商投资区的第三方物流配送的选择除专业的物流公司外</w:t>
      </w:r>
      <w:r>
        <w:rPr>
          <w:rFonts w:hint="eastAsia"/>
          <w:color w:val="000000" w:themeColor="text1"/>
          <w:kern w:val="0"/>
          <w:sz w:val="28"/>
        </w:rPr>
        <w:t>，</w:t>
      </w:r>
      <w:r>
        <w:rPr>
          <w:color w:val="000000" w:themeColor="text1"/>
          <w:kern w:val="0"/>
          <w:sz w:val="28"/>
        </w:rPr>
        <w:t>主要是邮政</w:t>
      </w:r>
      <w:r>
        <w:rPr>
          <w:rFonts w:hint="eastAsia"/>
          <w:color w:val="000000" w:themeColor="text1"/>
          <w:kern w:val="0"/>
          <w:sz w:val="28"/>
        </w:rPr>
        <w:t>、顺丰、</w:t>
      </w:r>
      <w:r>
        <w:rPr>
          <w:color w:val="000000" w:themeColor="text1"/>
          <w:kern w:val="0"/>
          <w:sz w:val="28"/>
        </w:rPr>
        <w:t>四通一达等迅速发展中的物流公司</w:t>
      </w:r>
      <w:r>
        <w:rPr>
          <w:rFonts w:hint="eastAsia"/>
          <w:color w:val="000000" w:themeColor="text1"/>
          <w:kern w:val="0"/>
          <w:sz w:val="28"/>
        </w:rPr>
        <w:t>，这些成熟的第三方企业使得外包物流配送成为电商企业的宠儿，同时也成为发展农村物流的必走之道。但由于缺乏统一的标准及规范，各大公司经营的范围和提供的服务区别明显，使得第三方外包配送服务水平和价格参差不齐、各行其道。因此建议对数量较大的农产品选择专业的物流公司，但是对小型快递而言选择邮政、顺丰等多家快递公司。</w:t>
      </w:r>
    </w:p>
    <w:p>
      <w:pPr>
        <w:pStyle w:val="4"/>
        <w:widowControl/>
        <w:numPr>
          <w:ilvl w:val="2"/>
          <w:numId w:val="2"/>
        </w:numPr>
        <w:snapToGrid w:val="0"/>
        <w:spacing w:before="0" w:after="0" w:line="36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共同配送</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由于村级物流量相对较小</w:t>
      </w:r>
      <w:r>
        <w:rPr>
          <w:rFonts w:hint="eastAsia"/>
          <w:color w:val="000000" w:themeColor="text1"/>
          <w:kern w:val="0"/>
          <w:sz w:val="28"/>
        </w:rPr>
        <w:t>，</w:t>
      </w:r>
      <w:r>
        <w:rPr>
          <w:color w:val="000000" w:themeColor="text1"/>
          <w:kern w:val="0"/>
          <w:sz w:val="28"/>
        </w:rPr>
        <w:t>因此在台商投资区的共同配送环节将大大降低成本</w:t>
      </w:r>
      <w:r>
        <w:rPr>
          <w:rFonts w:hint="eastAsia"/>
          <w:color w:val="000000" w:themeColor="text1"/>
          <w:kern w:val="0"/>
          <w:sz w:val="28"/>
        </w:rPr>
        <w:t>。共同配送是指多个企业联合起来由一个第三方物流公司提供物流配送服务，它是在配送中心的统一计划、统一调度下展开的，是由多个企业联合组织实施的配送活动。共同配送是指企业采取多种方式，进行横向联合、集约协调、求同存异以及效益共享。该种模式能够降低物流配送成本，提高资源的利用率，提高配送效率，但对于计划、调度要求较高，对物流企业的专业化程度要求较高。因此在村级配送环节可以选择邮政、中通等物流公司进行共同配送，形成规模效益。</w:t>
      </w:r>
    </w:p>
    <w:bookmarkEnd w:id="41"/>
    <w:p>
      <w:pPr>
        <w:pStyle w:val="3"/>
        <w:numPr>
          <w:ilvl w:val="1"/>
          <w:numId w:val="2"/>
        </w:numPr>
        <w:ind w:left="578" w:hanging="578"/>
        <w:jc w:val="left"/>
        <w:rPr>
          <w:rFonts w:ascii="Times New Roman" w:hAnsi="Times New Roman"/>
          <w:color w:val="000000" w:themeColor="text1"/>
        </w:rPr>
      </w:pPr>
      <w:bookmarkStart w:id="42" w:name="_Toc528526465"/>
      <w:r>
        <w:rPr>
          <w:rFonts w:hint="eastAsia" w:ascii="Times New Roman" w:hAnsi="Times New Roman"/>
          <w:color w:val="000000" w:themeColor="text1"/>
        </w:rPr>
        <w:t>泉州台商投资区农村物流网络运营要求</w:t>
      </w:r>
      <w:bookmarkEnd w:id="42"/>
    </w:p>
    <w:p>
      <w:pPr>
        <w:pStyle w:val="4"/>
        <w:widowControl/>
        <w:numPr>
          <w:ilvl w:val="2"/>
          <w:numId w:val="2"/>
        </w:numPr>
        <w:spacing w:before="240" w:after="60" w:line="240" w:lineRule="auto"/>
        <w:ind w:left="927"/>
        <w:jc w:val="left"/>
        <w:rPr>
          <w:rFonts w:eastAsia="黑体"/>
          <w:bCs/>
          <w:color w:val="000000" w:themeColor="text1"/>
          <w:sz w:val="30"/>
          <w:szCs w:val="30"/>
          <w:lang w:bidi="en-US"/>
        </w:rPr>
      </w:pPr>
      <w:r>
        <w:rPr>
          <w:rFonts w:hint="eastAsia" w:eastAsia="黑体"/>
          <w:bCs/>
          <w:color w:val="000000" w:themeColor="text1"/>
          <w:sz w:val="30"/>
          <w:szCs w:val="30"/>
          <w:lang w:bidi="en-US"/>
        </w:rPr>
        <w:t>安全运营要求</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泉州台商投资区的农村物流网络节点应建立健全相应的安全生产管理制度</w:t>
      </w:r>
      <w:r>
        <w:rPr>
          <w:rFonts w:hint="eastAsia"/>
          <w:color w:val="000000" w:themeColor="text1"/>
          <w:kern w:val="0"/>
          <w:sz w:val="28"/>
        </w:rPr>
        <w:t>，</w:t>
      </w:r>
      <w:r>
        <w:rPr>
          <w:color w:val="000000" w:themeColor="text1"/>
          <w:kern w:val="0"/>
          <w:sz w:val="28"/>
        </w:rPr>
        <w:t>配备相应</w:t>
      </w:r>
      <w:r>
        <w:rPr>
          <w:rFonts w:hint="eastAsia"/>
          <w:color w:val="000000" w:themeColor="text1"/>
          <w:kern w:val="0"/>
          <w:sz w:val="28"/>
        </w:rPr>
        <w:t>的</w:t>
      </w:r>
      <w:r>
        <w:rPr>
          <w:color w:val="000000" w:themeColor="text1"/>
          <w:kern w:val="0"/>
          <w:sz w:val="28"/>
        </w:rPr>
        <w:t>安全管理人员和设施设备</w:t>
      </w:r>
      <w:r>
        <w:rPr>
          <w:rFonts w:hint="eastAsia"/>
          <w:color w:val="000000" w:themeColor="text1"/>
          <w:kern w:val="0"/>
          <w:sz w:val="28"/>
        </w:rPr>
        <w:t>，完善</w:t>
      </w:r>
      <w:r>
        <w:rPr>
          <w:color w:val="000000" w:themeColor="text1"/>
          <w:kern w:val="0"/>
          <w:sz w:val="28"/>
        </w:rPr>
        <w:t>安全生产条件</w:t>
      </w:r>
      <w:r>
        <w:rPr>
          <w:rFonts w:hint="eastAsia"/>
          <w:color w:val="000000" w:themeColor="text1"/>
          <w:kern w:val="0"/>
          <w:sz w:val="28"/>
        </w:rPr>
        <w:t>，安全图片和禁限运物品宣传图上墙，做</w:t>
      </w:r>
      <w:r>
        <w:rPr>
          <w:color w:val="000000" w:themeColor="text1"/>
          <w:kern w:val="0"/>
          <w:sz w:val="28"/>
        </w:rPr>
        <w:t>好安全宣传与教育</w:t>
      </w:r>
      <w:r>
        <w:rPr>
          <w:rFonts w:hint="eastAsia"/>
          <w:color w:val="000000" w:themeColor="text1"/>
          <w:kern w:val="0"/>
          <w:sz w:val="28"/>
        </w:rPr>
        <w:t>，落实快递企业和寄件人安全责任，完善从业人员安全教育培训制度，筑牢寄递渠道安全基础。</w:t>
      </w:r>
    </w:p>
    <w:p>
      <w:pPr>
        <w:snapToGrid w:val="0"/>
        <w:spacing w:before="0" w:after="0" w:line="360" w:lineRule="auto"/>
        <w:ind w:left="0" w:firstLine="560" w:firstLineChars="200"/>
        <w:jc w:val="left"/>
        <w:rPr>
          <w:color w:val="000000" w:themeColor="text1"/>
          <w:kern w:val="0"/>
          <w:sz w:val="28"/>
          <w:szCs w:val="24"/>
        </w:rPr>
      </w:pPr>
      <w:r>
        <w:rPr>
          <w:rFonts w:hint="eastAsia"/>
          <w:color w:val="000000" w:themeColor="text1"/>
          <w:kern w:val="0"/>
          <w:sz w:val="28"/>
        </w:rPr>
        <w:t>公路货运和邮政快递等物流运营单位应当实行安全检查制度，按照规定对运输、寄递物品进行安全检查或者验视。对禁止运输、寄递，存在重大安全隐患物品，或客户拒绝安全查验的物品，不得运输、寄递。物流运营单位应当建立客户身份、物品的信息登记制度。货物堆码应符合物品理化性质要求，不得存放危险货物及其他列入违禁目录的货物。</w:t>
      </w:r>
    </w:p>
    <w:p>
      <w:pPr>
        <w:pStyle w:val="4"/>
        <w:widowControl/>
        <w:numPr>
          <w:ilvl w:val="2"/>
          <w:numId w:val="2"/>
        </w:numPr>
        <w:spacing w:before="240" w:after="60" w:line="240" w:lineRule="auto"/>
        <w:ind w:left="927"/>
        <w:jc w:val="left"/>
        <w:rPr>
          <w:rFonts w:eastAsia="黑体"/>
          <w:bCs/>
          <w:color w:val="000000" w:themeColor="text1"/>
          <w:sz w:val="30"/>
          <w:szCs w:val="30"/>
          <w:lang w:bidi="en-US"/>
        </w:rPr>
      </w:pPr>
      <w:bookmarkStart w:id="43" w:name="_Toc464978334"/>
      <w:bookmarkStart w:id="44" w:name="_Toc457465613"/>
      <w:r>
        <w:rPr>
          <w:rFonts w:hint="eastAsia" w:eastAsia="黑体"/>
          <w:bCs/>
          <w:color w:val="000000" w:themeColor="text1"/>
          <w:sz w:val="30"/>
          <w:szCs w:val="30"/>
          <w:lang w:bidi="en-US"/>
        </w:rPr>
        <w:t>运营服务要求</w:t>
      </w:r>
      <w:bookmarkEnd w:id="43"/>
      <w:bookmarkEnd w:id="44"/>
    </w:p>
    <w:p>
      <w:pPr>
        <w:snapToGrid w:val="0"/>
        <w:spacing w:before="0" w:after="0" w:line="360" w:lineRule="auto"/>
        <w:ind w:left="0" w:firstLine="560" w:firstLineChars="200"/>
        <w:jc w:val="left"/>
        <w:rPr>
          <w:color w:val="000000" w:themeColor="text1"/>
          <w:lang w:bidi="en-US"/>
        </w:rPr>
      </w:pPr>
      <w:r>
        <w:rPr>
          <w:rFonts w:hint="eastAsia"/>
          <w:color w:val="000000" w:themeColor="text1"/>
          <w:kern w:val="0"/>
          <w:sz w:val="28"/>
        </w:rPr>
        <w:t>在泉州台商投资区的货物配送时，货物受理应进行核验，不得受理或组织运输法律、行政法规禁限运的货物。如发现托运违禁货物应及时向有关机关举报。对进出站点的各类物品按规定程序履行检查，各环节交接职责明确，交接记录完整、准确。农村物流网络节点应及时受理农村物流运营的相关投诉，及时反馈受理情况，事后追踪，并确保投诉得到合理解决。农村物流服务节点内应粘贴服务范围、收费标准和作业流程的宣传牌，并公示投诉电话。</w:t>
      </w:r>
    </w:p>
    <w:p>
      <w:pPr>
        <w:pStyle w:val="4"/>
        <w:widowControl/>
        <w:numPr>
          <w:ilvl w:val="2"/>
          <w:numId w:val="2"/>
        </w:numPr>
        <w:spacing w:before="240" w:after="60" w:line="240" w:lineRule="auto"/>
        <w:ind w:left="927"/>
        <w:jc w:val="left"/>
        <w:rPr>
          <w:rFonts w:eastAsia="黑体"/>
          <w:bCs/>
          <w:color w:val="000000" w:themeColor="text1"/>
          <w:sz w:val="30"/>
          <w:szCs w:val="30"/>
          <w:lang w:bidi="en-US"/>
        </w:rPr>
      </w:pPr>
      <w:bookmarkStart w:id="45" w:name="_Toc464978335"/>
      <w:r>
        <w:rPr>
          <w:rFonts w:hint="eastAsia" w:eastAsia="黑体"/>
          <w:bCs/>
          <w:color w:val="000000" w:themeColor="text1"/>
          <w:sz w:val="30"/>
          <w:szCs w:val="30"/>
          <w:lang w:bidi="en-US"/>
        </w:rPr>
        <w:t>品牌建设</w:t>
      </w:r>
      <w:bookmarkEnd w:id="45"/>
    </w:p>
    <w:p>
      <w:pPr>
        <w:snapToGrid w:val="0"/>
        <w:spacing w:before="0" w:after="0" w:line="360" w:lineRule="auto"/>
        <w:ind w:left="0" w:firstLine="560" w:firstLineChars="200"/>
        <w:jc w:val="left"/>
        <w:rPr>
          <w:color w:val="000000" w:themeColor="text1"/>
          <w:kern w:val="0"/>
          <w:sz w:val="28"/>
          <w:szCs w:val="24"/>
        </w:rPr>
      </w:pPr>
      <w:r>
        <w:rPr>
          <w:color w:val="000000" w:themeColor="text1"/>
          <w:kern w:val="0"/>
          <w:sz w:val="28"/>
        </w:rPr>
        <w:t>泉州台商投资区的</w:t>
      </w:r>
      <w:r>
        <w:rPr>
          <w:rFonts w:hint="eastAsia"/>
          <w:color w:val="000000" w:themeColor="text1"/>
          <w:kern w:val="0"/>
          <w:sz w:val="28"/>
        </w:rPr>
        <w:t>农村物流网络节点要想推广起来，就需要获得当地的认可和接受。</w:t>
      </w:r>
      <w:r>
        <w:rPr>
          <w:color w:val="000000" w:themeColor="text1"/>
          <w:kern w:val="0"/>
          <w:sz w:val="28"/>
        </w:rPr>
        <w:t>而企业品牌的建设，首先要以诚信为先，没有诚信的企业，品牌就无从谈起</w:t>
      </w:r>
      <w:r>
        <w:rPr>
          <w:rFonts w:hint="eastAsia"/>
          <w:color w:val="000000" w:themeColor="text1"/>
          <w:kern w:val="0"/>
          <w:sz w:val="28"/>
        </w:rPr>
        <w:t>，应建立健全农村物流站场运营的信用管理制度，建立失信行为惩戒机制。其次，健全品牌形象，增强品牌辨识度和认知度，扩大品牌影响力。标识标牌宜兼顾标准化和个性化，在满足物流站点标识统一式样、统一编号、统一颜色的基础上，可兼顾融合站点经营企业的个性化标识。采用多种途径进行宣传，突出农村物流网络节点的功能和特色。再次，为了提高服务质量，应该建立一套完善的质量保证体系，服务质量已成为影响消费者对品牌信任度、追随度的重要因素，成为消费者选择品牌的关键因素。最后，推行企业品牌经营战略，物流网点管理者要及时了解农户、企业对品牌的满意度、期望值的变化情况，及时调整品牌的战略方向。品牌经营战略，应从品牌资产培养和增值的目标出发，结合品牌目标受众的特征，规划形象鲜明的品牌识别体系，紧密结合企业业务现实和发展前景，进行品牌核心价值定位，并确定品牌发展的方向。</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在农村物流布点之初，建议选择具有影响力和在农民心中已形成地的流企业入驻，同时建议价格费用较低的物流公司，如邮政物流公司。</w:t>
      </w:r>
    </w:p>
    <w:p>
      <w:pPr>
        <w:ind w:firstLine="420" w:firstLineChars="200"/>
        <w:jc w:val="left"/>
        <w:rPr>
          <w:color w:val="000000" w:themeColor="text1"/>
          <w:lang w:bidi="en-US"/>
        </w:rPr>
      </w:pPr>
    </w:p>
    <w:p>
      <w:pPr>
        <w:ind w:firstLine="420" w:firstLineChars="200"/>
        <w:jc w:val="left"/>
        <w:rPr>
          <w:color w:val="000000" w:themeColor="text1"/>
          <w:lang w:bidi="en-US"/>
        </w:rPr>
      </w:pPr>
    </w:p>
    <w:p>
      <w:pPr>
        <w:ind w:firstLine="420" w:firstLineChars="200"/>
        <w:jc w:val="left"/>
        <w:rPr>
          <w:color w:val="000000" w:themeColor="text1"/>
          <w:lang w:bidi="en-US"/>
        </w:rPr>
      </w:pPr>
    </w:p>
    <w:p>
      <w:pPr>
        <w:widowControl/>
        <w:jc w:val="left"/>
        <w:rPr>
          <w:color w:val="000000" w:themeColor="text1"/>
          <w:lang w:bidi="en-US"/>
        </w:rPr>
      </w:pPr>
      <w:r>
        <w:rPr>
          <w:color w:val="000000" w:themeColor="text1"/>
          <w:lang w:bidi="en-US"/>
        </w:rPr>
        <w:br w:type="page"/>
      </w:r>
    </w:p>
    <w:p>
      <w:pPr>
        <w:keepNext/>
        <w:keepLines/>
        <w:numPr>
          <w:ilvl w:val="0"/>
          <w:numId w:val="2"/>
        </w:numPr>
        <w:spacing w:line="576" w:lineRule="auto"/>
        <w:ind w:left="0" w:firstLine="0"/>
        <w:jc w:val="center"/>
        <w:outlineLvl w:val="0"/>
        <w:rPr>
          <w:rFonts w:ascii="黑体" w:hAnsi="黑体" w:eastAsia="黑体"/>
          <w:bCs/>
          <w:color w:val="000000" w:themeColor="text1"/>
          <w:kern w:val="44"/>
          <w:sz w:val="44"/>
          <w:szCs w:val="44"/>
        </w:rPr>
      </w:pPr>
      <w:bookmarkStart w:id="46" w:name="_Toc528526466"/>
      <w:r>
        <w:rPr>
          <w:rFonts w:hint="eastAsia" w:ascii="黑体" w:hAnsi="黑体" w:eastAsia="黑体"/>
          <w:bCs/>
          <w:color w:val="000000" w:themeColor="text1"/>
          <w:kern w:val="44"/>
          <w:sz w:val="44"/>
          <w:szCs w:val="44"/>
        </w:rPr>
        <w:t>泉州台商投资区农村物流网络体系建设的保障措施</w:t>
      </w:r>
      <w:bookmarkEnd w:id="46"/>
    </w:p>
    <w:p>
      <w:pPr>
        <w:pStyle w:val="3"/>
        <w:numPr>
          <w:ilvl w:val="1"/>
          <w:numId w:val="2"/>
        </w:numPr>
        <w:ind w:left="783"/>
        <w:jc w:val="left"/>
        <w:rPr>
          <w:rFonts w:ascii="Times New Roman" w:hAnsi="Times New Roman"/>
          <w:color w:val="000000" w:themeColor="text1"/>
        </w:rPr>
      </w:pPr>
      <w:bookmarkStart w:id="47" w:name="_Toc528526467"/>
      <w:r>
        <w:rPr>
          <w:rFonts w:hint="eastAsia" w:ascii="Times New Roman" w:hAnsi="Times New Roman"/>
          <w:color w:val="000000" w:themeColor="text1"/>
        </w:rPr>
        <w:t>组织保障</w:t>
      </w:r>
      <w:bookmarkEnd w:id="47"/>
    </w:p>
    <w:p>
      <w:pPr>
        <w:ind w:left="0" w:firstLine="560" w:firstLineChars="200"/>
        <w:rPr>
          <w:color w:val="000000" w:themeColor="text1"/>
          <w:kern w:val="0"/>
          <w:sz w:val="28"/>
        </w:rPr>
      </w:pPr>
      <w:r>
        <w:rPr>
          <w:rFonts w:hint="eastAsia"/>
          <w:color w:val="000000" w:themeColor="text1"/>
          <w:kern w:val="0"/>
          <w:sz w:val="28"/>
        </w:rPr>
        <w:t>台商投资区</w:t>
      </w:r>
      <w:r>
        <w:rPr>
          <w:rFonts w:hint="eastAsia"/>
          <w:color w:val="FF0000"/>
          <w:kern w:val="0"/>
          <w:sz w:val="28"/>
          <w:lang w:val="en-US" w:eastAsia="zh-CN"/>
        </w:rPr>
        <w:t>区直</w:t>
      </w:r>
      <w:r>
        <w:rPr>
          <w:rFonts w:hint="eastAsia"/>
          <w:color w:val="FF0000"/>
          <w:kern w:val="0"/>
          <w:sz w:val="28"/>
        </w:rPr>
        <w:t>各部门</w:t>
      </w:r>
      <w:r>
        <w:rPr>
          <w:rFonts w:hint="eastAsia"/>
          <w:color w:val="000000" w:themeColor="text1"/>
          <w:kern w:val="0"/>
          <w:sz w:val="28"/>
        </w:rPr>
        <w:t>、各乡镇政府以及各相关单位充分认识到加强农村物流网络节点体系建设，是实现全面建成小康社会目标的客观要求，是加快补齐物流业发展短板、降低城乡流通费用的重要举措。因此在泉州台商投资区</w:t>
      </w:r>
      <w:r>
        <w:rPr>
          <w:rFonts w:hint="eastAsia"/>
          <w:color w:val="000000" w:themeColor="text1"/>
          <w:kern w:val="0"/>
          <w:sz w:val="28"/>
          <w:lang w:val="en-US" w:eastAsia="zh-CN"/>
        </w:rPr>
        <w:t>管委会</w:t>
      </w:r>
      <w:r>
        <w:rPr>
          <w:rFonts w:hint="eastAsia"/>
          <w:color w:val="000000" w:themeColor="text1"/>
          <w:kern w:val="0"/>
          <w:sz w:val="28"/>
        </w:rPr>
        <w:t>的统一领导下，建立由交通运输、财政、国土、农业、商务、供销、邮政等多部门共同参与的农村物流工作领导小组，加强部门合作和行业联动，健全工作制度，落实责任分工，协同解决农村物流网络节点体系建设中的规划、土地、投资、运营等问题，按照“资源共享、多站合一、功能集约、便利高效”的原则，加快建成一批农村物流功能突出、服务“三农”效益显著的网络节点，全面提升台商投资期的农村物流服务水平。</w:t>
      </w:r>
    </w:p>
    <w:p>
      <w:pPr>
        <w:ind w:left="0" w:firstLine="560" w:firstLineChars="200"/>
        <w:rPr>
          <w:color w:val="000000" w:themeColor="text1"/>
          <w:kern w:val="0"/>
          <w:sz w:val="28"/>
        </w:rPr>
      </w:pPr>
      <w:r>
        <w:rPr>
          <w:rFonts w:hint="eastAsia"/>
          <w:color w:val="000000" w:themeColor="text1"/>
          <w:kern w:val="0"/>
          <w:sz w:val="28"/>
        </w:rPr>
        <w:t>同时，台商投资区政府积极营造良好的政策导向和舆论氛围，在公共媒体上宣传台商投资区对农村物流网络体系的规划和政策，鼓励物流企业加入体系，鼓励当地农户加强电子商务的应用，保障物流网络体系的运营。</w:t>
      </w:r>
    </w:p>
    <w:p>
      <w:pPr>
        <w:pStyle w:val="3"/>
        <w:numPr>
          <w:ilvl w:val="1"/>
          <w:numId w:val="2"/>
        </w:numPr>
        <w:ind w:left="783"/>
        <w:jc w:val="left"/>
        <w:rPr>
          <w:rFonts w:ascii="Times New Roman" w:hAnsi="Times New Roman"/>
          <w:color w:val="000000" w:themeColor="text1"/>
        </w:rPr>
      </w:pPr>
      <w:bookmarkStart w:id="48" w:name="_Toc528526468"/>
      <w:r>
        <w:rPr>
          <w:rFonts w:hint="eastAsia" w:ascii="Times New Roman" w:hAnsi="Times New Roman"/>
          <w:color w:val="000000" w:themeColor="text1"/>
        </w:rPr>
        <w:t>资金保障</w:t>
      </w:r>
      <w:bookmarkEnd w:id="48"/>
    </w:p>
    <w:p>
      <w:pPr>
        <w:ind w:left="0" w:firstLine="560" w:firstLineChars="200"/>
        <w:rPr>
          <w:color w:val="000000" w:themeColor="text1"/>
          <w:kern w:val="0"/>
          <w:sz w:val="28"/>
        </w:rPr>
      </w:pPr>
      <w:r>
        <w:rPr>
          <w:rFonts w:hint="eastAsia"/>
          <w:color w:val="000000" w:themeColor="text1"/>
          <w:kern w:val="0"/>
          <w:sz w:val="28"/>
        </w:rPr>
        <w:t>台商投资区的交通运输、农业、供销、邮政管理等部门要积极争取财政对农村物流网络建设的专项资金，对站场设施建设、农村物流网点建设、基础设施装备改造、信息系统建设、运营模式创新等具有较强公益性的项目予以引导扶持。</w:t>
      </w:r>
    </w:p>
    <w:p>
      <w:pPr>
        <w:ind w:left="0" w:firstLine="560" w:firstLineChars="200"/>
        <w:rPr>
          <w:color w:val="000000" w:themeColor="text1"/>
          <w:kern w:val="0"/>
          <w:sz w:val="28"/>
        </w:rPr>
      </w:pPr>
      <w:r>
        <w:rPr>
          <w:rFonts w:hint="eastAsia"/>
          <w:color w:val="000000" w:themeColor="text1"/>
          <w:kern w:val="0"/>
          <w:sz w:val="28"/>
        </w:rPr>
        <w:t>建立和稳定对农村物流的支持资金渠道，加大政策倾斜和投入力度，特别是对三级物流体系末端网点，在其运营的前期应给予适当资金和设备补贴，扶持其度过业务拓展期。</w:t>
      </w:r>
    </w:p>
    <w:p>
      <w:pPr>
        <w:ind w:left="0" w:firstLine="560" w:firstLineChars="200"/>
        <w:rPr>
          <w:color w:val="000000" w:themeColor="text1"/>
          <w:kern w:val="0"/>
          <w:sz w:val="28"/>
        </w:rPr>
      </w:pPr>
      <w:r>
        <w:rPr>
          <w:rFonts w:hint="eastAsia"/>
          <w:color w:val="000000" w:themeColor="text1"/>
          <w:kern w:val="0"/>
          <w:sz w:val="28"/>
        </w:rPr>
        <w:t>进一步扩大电商企业的投融资渠道，开展无形资产、动产质押等形式的融资服务，或者对创业人员给予小额担保贷款及贴息政策，对支持企业通过上市、发行企业债券等方式筹措资金，扩展电子商务发展的融资渠道，促进电商企业的发展，保证农村物流网络的供货持续性和运输量。</w:t>
      </w:r>
    </w:p>
    <w:p>
      <w:pPr>
        <w:pStyle w:val="3"/>
        <w:numPr>
          <w:ilvl w:val="1"/>
          <w:numId w:val="2"/>
        </w:numPr>
        <w:ind w:left="783"/>
        <w:jc w:val="left"/>
        <w:rPr>
          <w:rFonts w:ascii="Times New Roman" w:hAnsi="Times New Roman"/>
          <w:color w:val="000000" w:themeColor="text1"/>
        </w:rPr>
      </w:pPr>
      <w:bookmarkStart w:id="49" w:name="_Toc528526469"/>
      <w:r>
        <w:rPr>
          <w:rFonts w:hint="eastAsia" w:ascii="Times New Roman" w:hAnsi="Times New Roman"/>
          <w:color w:val="000000" w:themeColor="text1"/>
        </w:rPr>
        <w:t>政策保障</w:t>
      </w:r>
      <w:bookmarkEnd w:id="49"/>
    </w:p>
    <w:p>
      <w:pPr>
        <w:pStyle w:val="4"/>
        <w:widowControl/>
        <w:numPr>
          <w:ilvl w:val="2"/>
          <w:numId w:val="2"/>
        </w:numPr>
        <w:spacing w:before="240" w:after="60" w:line="240" w:lineRule="auto"/>
        <w:ind w:left="927"/>
        <w:jc w:val="left"/>
        <w:rPr>
          <w:rFonts w:eastAsia="黑体"/>
          <w:bCs/>
          <w:color w:val="000000" w:themeColor="text1"/>
          <w:sz w:val="30"/>
          <w:szCs w:val="30"/>
          <w:lang w:bidi="en-US"/>
        </w:rPr>
      </w:pPr>
      <w:r>
        <w:rPr>
          <w:rFonts w:hint="eastAsia" w:eastAsia="黑体"/>
          <w:bCs/>
          <w:color w:val="000000" w:themeColor="text1"/>
          <w:sz w:val="30"/>
          <w:szCs w:val="30"/>
          <w:lang w:bidi="en-US"/>
        </w:rPr>
        <w:t>加强农村物流市场的行为规范</w:t>
      </w:r>
    </w:p>
    <w:p>
      <w:pPr>
        <w:snapToGrid w:val="0"/>
        <w:spacing w:before="0" w:after="0" w:line="360" w:lineRule="auto"/>
        <w:ind w:left="0" w:firstLine="560" w:firstLineChars="200"/>
        <w:jc w:val="left"/>
        <w:rPr>
          <w:rFonts w:ascii="Times New Roman" w:hAnsi="Times New Roman"/>
          <w:color w:val="000000" w:themeColor="text1"/>
          <w:kern w:val="0"/>
          <w:sz w:val="28"/>
          <w:szCs w:val="24"/>
        </w:rPr>
      </w:pPr>
      <w:r>
        <w:rPr>
          <w:rFonts w:hint="eastAsia"/>
          <w:color w:val="000000" w:themeColor="text1"/>
          <w:kern w:val="0"/>
          <w:sz w:val="28"/>
        </w:rPr>
        <w:t>农村物流市场的物流主体多且分散，市场集中度低，这就极有可能带来微观物流主体追求利润最大化并造成恶性竞争的可能。因此，农村物流市场行为规范方面的出台，有利于来自各方的物流主体能够在一个公平的市场环境下良性竞争，限制恶性竞争，保证农村物流市场的健康发展。</w:t>
      </w:r>
    </w:p>
    <w:p>
      <w:pPr>
        <w:snapToGrid w:val="0"/>
        <w:spacing w:before="0" w:after="0" w:line="360" w:lineRule="auto"/>
        <w:ind w:left="0" w:firstLine="560" w:firstLineChars="200"/>
        <w:jc w:val="left"/>
        <w:rPr>
          <w:rFonts w:ascii="Times New Roman" w:hAnsi="Times New Roman"/>
          <w:color w:val="000000" w:themeColor="text1"/>
          <w:kern w:val="0"/>
          <w:sz w:val="28"/>
          <w:szCs w:val="24"/>
        </w:rPr>
      </w:pPr>
      <w:r>
        <w:rPr>
          <w:rFonts w:hint="eastAsia"/>
          <w:color w:val="000000" w:themeColor="text1"/>
          <w:kern w:val="0"/>
          <w:sz w:val="28"/>
        </w:rPr>
        <w:t>第一，面对农产品物流市场价格的波动，建立交通运输、农业、供销、邮政管理等部门协同的农村物流市场监管机制，对于在农村物流活动中哄抬物价、扰乱市场秩序的物流参与人员应给予严厉打击，保持物流市场价格的公平性，要保障农产品物流的供给方和需求方的利益，尤其是要保障农产品的生产者即农民的利益，从而使农村物流市场的运营环境得到净化，促进农村物流网络体系的有效运行。第二，加强农村物流市场运行监测，泉州台商投资区以工艺制品、纺织鞋服和机电设备为三大支柱产业，在这当中选择典型线路、特色产品，将其产销价格、运输价格、运输成本纳入监测范围，及时了解农产品物流动态，建立健全预测和预警机制，做好应急预案，保障农产品供应链的稳定运行；第三，对承担三级物流体系运输业务的物流企业提供运输指导价，保证价格的稳定，差价部分在政策允许范围内可以适当给予补贴。</w:t>
      </w:r>
    </w:p>
    <w:p>
      <w:pPr>
        <w:pStyle w:val="4"/>
        <w:widowControl/>
        <w:numPr>
          <w:ilvl w:val="2"/>
          <w:numId w:val="2"/>
        </w:numPr>
        <w:spacing w:before="240" w:after="60" w:line="240" w:lineRule="auto"/>
        <w:ind w:left="927"/>
        <w:jc w:val="left"/>
        <w:rPr>
          <w:rFonts w:ascii="黑体" w:hAnsi="黑体" w:eastAsia="黑体"/>
          <w:bCs/>
          <w:color w:val="000000" w:themeColor="text1"/>
          <w:sz w:val="30"/>
          <w:szCs w:val="30"/>
          <w:lang w:bidi="en-US"/>
        </w:rPr>
      </w:pPr>
      <w:r>
        <w:rPr>
          <w:rFonts w:hint="eastAsia" w:ascii="黑体" w:hAnsi="黑体" w:eastAsia="黑体"/>
          <w:bCs/>
          <w:color w:val="000000" w:themeColor="text1"/>
          <w:sz w:val="30"/>
          <w:szCs w:val="30"/>
          <w:lang w:bidi="en-US"/>
        </w:rPr>
        <w:t>推进农村物流诚信体系建设</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在交通运输部会同农业部、中华全国供销合作总社、国家邮政局联合印发了《关于协同推进农村物流健康发展、加快服务农业现代化的若干意见》中提出，四部门将努力推进农村物流诚信体系建设。</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信用危机一直是农村地区长期存在的一个难以解决的问题。由于农村小农经济思想的影响和农村物流企业的自身原因，个别企业和个人为自身利益，言而无信，背弃承诺，严重破坏了行业的信用秩序。对农村物流企业来讲，信用缺失的危害是极大的。在信用秩序和信用环境混乱和无序的情况下，一个农村物流企业的发展壮大是困难的和难以想象的。因此，必须搞好农村物流企业的信用机制建设，整顿农村物流的信用秩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首先，建立农村物流市场主体信用披露与服务制度。农村物流企业的信用来自物流后客户和同行的信息反馈，应当建立一个统一的诚信监管信息平台，来收集整理这些信息反馈，并加以处理，以信用度的形式表现出来</w:t>
      </w:r>
      <w:r>
        <w:rPr>
          <w:color w:val="000000" w:themeColor="text1"/>
          <w:kern w:val="0"/>
          <w:sz w:val="28"/>
        </w:rPr>
        <w:t>,</w:t>
      </w:r>
      <w:r>
        <w:rPr>
          <w:rFonts w:hint="eastAsia"/>
          <w:color w:val="000000" w:themeColor="text1"/>
          <w:kern w:val="0"/>
          <w:sz w:val="28"/>
        </w:rPr>
        <w:t>真实反映农村物流企业的信用。这个平台必须独立而且具有权威性</w:t>
      </w:r>
      <w:r>
        <w:rPr>
          <w:color w:val="000000" w:themeColor="text1"/>
          <w:kern w:val="0"/>
          <w:sz w:val="28"/>
        </w:rPr>
        <w:t>,</w:t>
      </w:r>
      <w:r>
        <w:rPr>
          <w:rFonts w:hint="eastAsia"/>
          <w:color w:val="000000" w:themeColor="text1"/>
          <w:kern w:val="0"/>
          <w:sz w:val="28"/>
        </w:rPr>
        <w:t>发布的结果能得到大家的认同。这在样一种信用评价机制下，不守信用的企业将原形毕露，信用度好的企业，将受益良多。</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其次，完善健全相关政策，管理和规范农村物流企业的信用表现。对于一些严重扰乱农村物流信用秩序的企业和个人，以行政手段的方式加以制裁和约束，营造良好的农村物流体系的信用环境。</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最后，加强对农村物流企业的从业人员的信用规范教育。农村物流企业的信用缺失，说到底还是人的问题。加强对人的信用教育，对改变信用环境有很大的帮助。提倡诚实守信，反对虚假欺骗，反对见利忘义，落实到农村物流网络体系建设中，更具有非常重要的现实意义。</w:t>
      </w:r>
    </w:p>
    <w:p>
      <w:pPr>
        <w:pStyle w:val="4"/>
        <w:widowControl/>
        <w:numPr>
          <w:ilvl w:val="2"/>
          <w:numId w:val="2"/>
        </w:numPr>
        <w:spacing w:before="240" w:after="60" w:line="240" w:lineRule="auto"/>
        <w:ind w:left="927"/>
        <w:jc w:val="left"/>
        <w:rPr>
          <w:rFonts w:ascii="黑体" w:hAnsi="黑体" w:eastAsia="黑体"/>
          <w:bCs/>
          <w:color w:val="000000" w:themeColor="text1"/>
          <w:sz w:val="30"/>
          <w:szCs w:val="30"/>
          <w:lang w:bidi="en-US"/>
        </w:rPr>
      </w:pPr>
      <w:r>
        <w:rPr>
          <w:rFonts w:hint="eastAsia" w:ascii="黑体" w:hAnsi="黑体" w:eastAsia="黑体"/>
          <w:bCs/>
          <w:color w:val="000000" w:themeColor="text1"/>
          <w:sz w:val="30"/>
          <w:szCs w:val="30"/>
          <w:lang w:bidi="en-US"/>
        </w:rPr>
        <w:t>引导物流企业加入农村物流体系的建设</w:t>
      </w:r>
    </w:p>
    <w:p>
      <w:pPr>
        <w:snapToGrid w:val="0"/>
        <w:spacing w:before="0" w:after="0" w:line="360" w:lineRule="auto"/>
        <w:ind w:left="0" w:firstLine="560" w:firstLineChars="200"/>
        <w:jc w:val="left"/>
        <w:rPr>
          <w:rFonts w:ascii="Times New Roman" w:hAnsi="Times New Roman"/>
          <w:color w:val="000000" w:themeColor="text1"/>
          <w:kern w:val="0"/>
          <w:sz w:val="28"/>
          <w:szCs w:val="24"/>
        </w:rPr>
      </w:pPr>
      <w:r>
        <w:rPr>
          <w:rFonts w:hint="eastAsia" w:ascii="Times New Roman" w:hAnsi="Times New Roman"/>
          <w:color w:val="000000" w:themeColor="text1"/>
          <w:kern w:val="0"/>
          <w:sz w:val="28"/>
          <w:szCs w:val="24"/>
        </w:rPr>
        <w:t>通过行政手段吸引一些专业的物流公司投身于农村物流体系的建设中来，首先引导快递企业、零担企业入驻物流中心，实行入园优惠政策，降低企业前期成本压力，提高物流中心的入驻率，同时限制零散物流企业占道经营，建立统一开放、公平竞争、规范有序的交通物流体系；其次，鼓励和支持规模较大、基础较好的第三方物流企业，延伸农村经营服务网络，充分利用农村各类社会服务网点，比如邮政网点，推进全县农村物流网络体系建设；最后，加快推进农村物流服务网点提档升级，提升服务功能，鼓励引导社会资本和龙头企业在各个网点设置农副产品、名优土特产品销售网点，推动农产品物流企业向产供销一体化方向发展，引导支持中小企业和物流企业采用联盟、合作等多种形式，实现资源整合与共享，为农村物流注入鲜活的血液，促进其进一步发展。</w:t>
      </w:r>
    </w:p>
    <w:p>
      <w:pPr>
        <w:pStyle w:val="3"/>
        <w:numPr>
          <w:ilvl w:val="1"/>
          <w:numId w:val="2"/>
        </w:numPr>
        <w:ind w:left="783"/>
        <w:jc w:val="left"/>
        <w:rPr>
          <w:rFonts w:ascii="Times New Roman" w:hAnsi="Times New Roman"/>
          <w:color w:val="000000" w:themeColor="text1"/>
        </w:rPr>
      </w:pPr>
      <w:bookmarkStart w:id="50" w:name="_Toc528526470"/>
      <w:r>
        <w:rPr>
          <w:rFonts w:hint="eastAsia" w:ascii="Times New Roman" w:hAnsi="Times New Roman"/>
          <w:color w:val="000000" w:themeColor="text1"/>
        </w:rPr>
        <w:t>人才保障</w:t>
      </w:r>
      <w:bookmarkEnd w:id="50"/>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泉州地区拥有华侨大学、仰恩大学、泉州师范学院、黎明职业大学、闽南理工学院、泉州纺织服装学院、福建电力职业技术学院、泉州经贸职业技术学院等多所综合性大学和理工科院校，为投资区的人才需求提供了强有力的保障。</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物流人才的培养是物流产业中重要的投入因素，在一定程度上影响着农村物流的发展。首先，台商投资区政府及村委会干部应加强农村物流重要性的宣传，对农民进行定期物流培训，普及物流知识，传授物流的基本技能，从根本上提高农民物流意识，转变农民经营观念，使农民能积极主动的加入到农村物流体系的构建工作中来，提高农村物流初始运作效率；其次，积极探索企业、协会和高校联合建立物流及电子商务产业人才培训中心，建立实训基地，开展农村物流操作技能和电子商务应用技能培训，重点培育紧缺的农村物流人才和电子商务的人才；最后，依托台商投资区的文化创意产业，吸引台湾创意型人才、国内外金融、贸易、物流以及企业经营管理人才，增加物流网络运营能力。</w:t>
      </w:r>
      <w:r>
        <w:rPr>
          <w:color w:val="000000" w:themeColor="text1"/>
          <w:kern w:val="0"/>
          <w:sz w:val="28"/>
        </w:rPr>
        <w:t xml:space="preserve"> </w:t>
      </w:r>
    </w:p>
    <w:p>
      <w:pPr>
        <w:pStyle w:val="3"/>
        <w:numPr>
          <w:ilvl w:val="1"/>
          <w:numId w:val="2"/>
        </w:numPr>
        <w:ind w:left="783"/>
        <w:jc w:val="left"/>
        <w:rPr>
          <w:rFonts w:ascii="Times New Roman" w:hAnsi="Times New Roman"/>
          <w:color w:val="000000" w:themeColor="text1"/>
        </w:rPr>
      </w:pPr>
      <w:bookmarkStart w:id="51" w:name="_Toc528526471"/>
      <w:r>
        <w:rPr>
          <w:rFonts w:hint="eastAsia" w:ascii="Times New Roman" w:hAnsi="Times New Roman"/>
          <w:color w:val="000000" w:themeColor="text1"/>
        </w:rPr>
        <w:t>技术保障</w:t>
      </w:r>
      <w:bookmarkEnd w:id="51"/>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2015 年，国家再次下发了《关于智慧物流配送体系建设实施意见》，将智慧物流的概念带入了大众的视野，进一步促进了传统物流信息化平台的转型升级，随着云计算和大数据技术进入飞速发展的黄金时期，智慧物流信息化平台也将依托于大量数据基础和高效的分析能力，推动物流中心向物资流向可视化、服务功能多样化、管理方案智能化不断发展，使智慧物流信息化达到一个新的高度。</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三级农村物流网络体系的运作需要强大的信息平台支撑。台商投资区</w:t>
      </w:r>
      <w:r>
        <w:rPr>
          <w:rFonts w:hint="eastAsia"/>
          <w:strike/>
          <w:dstrike w:val="0"/>
          <w:color w:val="FF0000"/>
          <w:kern w:val="0"/>
          <w:sz w:val="28"/>
        </w:rPr>
        <w:t>区</w:t>
      </w:r>
      <w:r>
        <w:rPr>
          <w:rFonts w:hint="eastAsia"/>
          <w:color w:val="000000" w:themeColor="text1"/>
          <w:kern w:val="0"/>
          <w:sz w:val="28"/>
        </w:rPr>
        <w:t>农村物流信息平台除了满足平台用户的基本需求外，还可进行物流信息服务、物流资源交易、电</w:t>
      </w:r>
      <w:bookmarkStart w:id="162" w:name="_GoBack"/>
      <w:bookmarkEnd w:id="162"/>
      <w:r>
        <w:rPr>
          <w:rFonts w:hint="eastAsia"/>
          <w:color w:val="000000" w:themeColor="text1"/>
          <w:kern w:val="0"/>
          <w:sz w:val="28"/>
        </w:rPr>
        <w:t>子政务和智能辅助决策等功能，实现全区农村物流信息资源的集聚与共享，实现人、车、货等物流资源的有效对接和整合，并保证物流信息的完整性、及时性、准确性。支持物流企业、电商企业和生产企业通过公用信息平台，实现数据公用、信息互通和资源共享，提高企业对市场变化的反应能力和供应链管理水平。通过平台的建设，发展信息平台的优势，进一步提升台商投资区优势产业的积聚和物流网络体系的运营能力，形成完善的农村物流网络体系，提升台商投资区农村物流服务水平</w:t>
      </w:r>
    </w:p>
    <w:p>
      <w:pPr>
        <w:pStyle w:val="3"/>
        <w:numPr>
          <w:ilvl w:val="1"/>
          <w:numId w:val="2"/>
        </w:numPr>
        <w:ind w:left="783"/>
        <w:jc w:val="left"/>
        <w:rPr>
          <w:rFonts w:ascii="Times New Roman" w:hAnsi="Times New Roman"/>
          <w:color w:val="000000" w:themeColor="text1"/>
        </w:rPr>
      </w:pPr>
      <w:bookmarkStart w:id="52" w:name="_Toc528526472"/>
      <w:r>
        <w:rPr>
          <w:rFonts w:hint="eastAsia" w:ascii="Times New Roman" w:hAnsi="Times New Roman"/>
          <w:color w:val="000000" w:themeColor="text1"/>
        </w:rPr>
        <w:t>机制保障</w:t>
      </w:r>
      <w:bookmarkEnd w:id="52"/>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对于台商投资区三级农村物流服务站点建设项目的验收应进行严格的评估验收，经验收合格的项目，应在醒目位置悬挂农村物流站点统一标识。制订各级物流服务网络的服务标准或者服务质量保证体系，明确各个物流服务点的岗位分类和岗位职责，加强对站场运营服务的动态监测及考核监督，对于客户的投诉，及时受理并反馈。</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定期研究台商投资区农产品，特别是特色农产品的市场需求情况、流量和流向，研究快递包裹的流量和流向，为物流配送车辆的配置数量和配送线路优化提供决策依据，根据实际情况动态合理调整，着力打通 “工业品下乡，农产品进程”双向流通渠道，从而形成覆盖区、乡镇、村的三级物流网络体系。</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综上所述，合适的组织保障、政策保障、资金保障、人才保障、技术保障和机制保障措施有利于泉州台商投资区农村物流网络体系规划的顺利实施。合理的规划方案顺利实施，有利于泉州台商投资区农村物流网络节点体系的构建更加有效的进行，以此确保当地农村物流规范、有序发展，从而促进泉州台商投资区经济的发展。</w:t>
      </w:r>
    </w:p>
    <w:p>
      <w:pPr>
        <w:widowControl/>
        <w:spacing w:before="0" w:after="0" w:line="240" w:lineRule="auto"/>
        <w:ind w:left="0" w:firstLine="0"/>
        <w:jc w:val="left"/>
        <w:rPr>
          <w:color w:val="000000" w:themeColor="text1"/>
          <w:kern w:val="0"/>
          <w:sz w:val="28"/>
        </w:rPr>
      </w:pPr>
      <w:r>
        <w:rPr>
          <w:color w:val="000000" w:themeColor="text1"/>
          <w:kern w:val="0"/>
          <w:sz w:val="28"/>
        </w:rPr>
        <w:br w:type="page"/>
      </w:r>
    </w:p>
    <w:p>
      <w:pPr>
        <w:pStyle w:val="2"/>
        <w:spacing w:beforeLines="0" w:after="0"/>
        <w:ind w:left="420" w:firstLine="0"/>
        <w:rPr>
          <w:rFonts w:ascii="黑体" w:hAnsi="黑体"/>
          <w:b w:val="0"/>
          <w:bCs w:val="0"/>
          <w:color w:val="000000" w:themeColor="text1"/>
          <w:sz w:val="44"/>
        </w:rPr>
      </w:pPr>
      <w:bookmarkStart w:id="53" w:name="_Toc528526473"/>
      <w:r>
        <w:rPr>
          <w:rFonts w:hint="eastAsia" w:ascii="黑体" w:hAnsi="黑体"/>
          <w:b w:val="0"/>
          <w:bCs w:val="0"/>
          <w:color w:val="000000" w:themeColor="text1"/>
          <w:sz w:val="44"/>
        </w:rPr>
        <w:t>附录一 泉州台商投资区各乡镇快递业务量预测分析</w:t>
      </w:r>
      <w:bookmarkEnd w:id="53"/>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本部分主要结合快递的发展及区域经济的影响主要对快递业务量的影响因素进行分析</w:t>
      </w:r>
      <w:r>
        <w:rPr>
          <w:rFonts w:hint="eastAsia"/>
          <w:color w:val="000000" w:themeColor="text1"/>
          <w:kern w:val="0"/>
          <w:sz w:val="28"/>
        </w:rPr>
        <w:t>，</w:t>
      </w:r>
      <w:r>
        <w:rPr>
          <w:color w:val="000000" w:themeColor="text1"/>
          <w:kern w:val="0"/>
          <w:sz w:val="28"/>
        </w:rPr>
        <w:t>进而选出合适的指标体系</w:t>
      </w:r>
      <w:r>
        <w:rPr>
          <w:rFonts w:hint="eastAsia"/>
          <w:color w:val="000000" w:themeColor="text1"/>
          <w:kern w:val="0"/>
          <w:sz w:val="28"/>
        </w:rPr>
        <w:t>，</w:t>
      </w:r>
      <w:r>
        <w:rPr>
          <w:color w:val="000000" w:themeColor="text1"/>
          <w:kern w:val="0"/>
          <w:sz w:val="28"/>
        </w:rPr>
        <w:t>进行模型构建</w:t>
      </w:r>
      <w:r>
        <w:rPr>
          <w:rFonts w:hint="eastAsia"/>
          <w:color w:val="000000" w:themeColor="text1"/>
          <w:kern w:val="0"/>
          <w:sz w:val="28"/>
        </w:rPr>
        <w:t>，</w:t>
      </w:r>
      <w:r>
        <w:rPr>
          <w:color w:val="000000" w:themeColor="text1"/>
          <w:kern w:val="0"/>
          <w:sz w:val="28"/>
        </w:rPr>
        <w:t>最后完成快递业务量的预测工作</w:t>
      </w:r>
      <w:r>
        <w:rPr>
          <w:rFonts w:hint="eastAsia"/>
          <w:color w:val="000000" w:themeColor="text1"/>
          <w:kern w:val="0"/>
          <w:sz w:val="28"/>
        </w:rPr>
        <w:t>。</w:t>
      </w:r>
    </w:p>
    <w:p>
      <w:pPr>
        <w:pStyle w:val="3"/>
        <w:ind w:left="783"/>
        <w:rPr>
          <w:rFonts w:ascii="Times New Roman" w:hAnsi="Times New Roman"/>
          <w:color w:val="000000" w:themeColor="text1"/>
        </w:rPr>
      </w:pPr>
      <w:bookmarkStart w:id="54" w:name="_Toc528526474"/>
      <w:r>
        <w:rPr>
          <w:rFonts w:hint="eastAsia" w:ascii="Times New Roman" w:hAnsi="Times New Roman"/>
          <w:color w:val="000000" w:themeColor="text1"/>
        </w:rPr>
        <w:t>1.1</w:t>
      </w:r>
      <w:r>
        <w:rPr>
          <w:rFonts w:ascii="Times New Roman" w:hAnsi="Times New Roman"/>
          <w:color w:val="000000" w:themeColor="text1"/>
        </w:rPr>
        <w:t>快递业务量影响因素分析</w:t>
      </w:r>
      <w:bookmarkEnd w:id="54"/>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快递业是新型行业，近10年来在我国发展迅速，区域经济发展对快递业的发展影响重大。一般来说，区域经济越发达，快递需求量越大，快递管理越规范，快递业务数据越容易获取，相反经济未到一定程度下，快递业务量及快递其他相关数据的统计常出现不完善情况。复杂的经济环境导致快递需求量的影响因素是多方面的，有些影响因素甚至无法测量，考虑到需求指标的全面性和资料的可获取性、准确性，本规划从经济因素和非经济因素两方面来阐述快递需求量的影响因素。</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1.1.1经济因素</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区域快递业务量受到区域经济各项因素的影响，如经济水平和规模、消费水平、社会固定资产投资，也会受到常住人口数、网民人数、网络零售额的影响。</w:t>
      </w:r>
    </w:p>
    <w:p>
      <w:pPr>
        <w:snapToGrid w:val="0"/>
        <w:spacing w:before="0" w:after="0" w:line="360" w:lineRule="auto"/>
        <w:ind w:left="0" w:firstLine="560" w:firstLineChars="200"/>
        <w:jc w:val="left"/>
        <w:rPr>
          <w:color w:val="000000" w:themeColor="text1"/>
          <w:kern w:val="0"/>
          <w:sz w:val="28"/>
        </w:rPr>
      </w:pPr>
      <w:r>
        <w:rPr>
          <w:rFonts w:asciiTheme="minorEastAsia" w:hAnsiTheme="minorEastAsia" w:eastAsiaTheme="minorEastAsia"/>
          <w:color w:val="000000" w:themeColor="text1"/>
          <w:sz w:val="28"/>
          <w:szCs w:val="28"/>
        </w:rPr>
        <w:t xml:space="preserve"> </w:t>
      </w:r>
      <w:r>
        <w:rPr>
          <w:rFonts w:hint="eastAsia"/>
          <w:color w:val="000000" w:themeColor="text1"/>
          <w:kern w:val="0"/>
          <w:sz w:val="28"/>
        </w:rPr>
        <w:t>（1）经济水平和规模</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快递作为一种派生的物流需求，决定它的根本原因就是经济的总体发展水平和规模。各地的经济发展规模不同，其对快递需求也是不同的，不仅在数量上不同，在方式上也同样不同。在经济发达地区，快递需求量大，快递管理越规范；相反，在欠发达地区，快递需求量相对小很多，好多地方甚至快递都到不了。</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（2）消费水平</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企业的经营决策、产品生产和销售行为取决于社会消费水平，进而消费水平就会影响到物流的规模和主体流向。新的产品生产和销售活动就会带来新的物流需求，由于在不同地区人们的消费水平和观念不同对产品的需求不同因而同一产品在不同区域又有着不同的物流需求。现在网上购物人数在逐年上升，这就对快递这种物流需求不断的提高，而相对于实体店的购物就会减少。</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（3）社会固定资产投资</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固定资产的投资不仅可以拉动区域的快递需求，而且这些投资可以改善快递物流设施设备和布局，如投资于公路交通和铁路建设则会使物流网络更加的强大，增加快递的周转流通和增大商品流量。</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（4）常住人口数</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快递需求是由人促发的，一般来说，人口越大，快递需求越大；但人口是时刻流动的，一个地区常住人口才是该地区的稳定人口数，对应的快递需求业稳定；由此可见地区的常住人口数的快递需求也是有重大影响的。</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（5）社会消费品零售总额</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社会消费品零售总额反映了地区居民生活水平。快递业为批发零售、餐饮提供快速、灵活的配送服务，商品购买行为的发生经常伴随着配送，或者商品出现问题需要返回时，也需要快递服务。随着互联网的发展，人们更多地倾向于利用网络平台，比如各种购物网站、外卖网站，快递送货上门，足不出户买到自己想要的产品和服务，这种网上购物方式在很大程度上促进社会消费品零售额的增长。因此，社会消费品零售总额能够很好地反映快递需求量大小。</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1.1.2非经济因素</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（1）国家相关政策</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国家政策会间接影响快递的服务质量和需求量。快递业的发展，需要政府的宏观调控和政策支持，一个针对快递行业的符合客观实际的政策，能够规范快递市场，引导快递规范化，促进快递业的发展。如果不深入调查研究，做出了错误的政策，则会抑制快递业的发展，甚至可能破坏现有的快递行业规范秩序。近几年，我国先后出台了，《快递服务标准》、《快递业发展“十三五’规划》等快递行业准则和规划，会按时也根据实际情况制定相应的发展规划，以此来指导快递行业健康有序地发展。此外，“互联网+”行动计划为快递业创新发展提供新引擎，快递与电商合作不断深化，与现代农业、制造业、跨境贸易等协同模式不断拓展，这些措施都为快递业的有序发展提供了政策性保障和支持。</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（2）信息处理技术</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无论是快递，还是物流，或者其他第三产业，信息处理技术都是核心，单个客户或企业的货物寄送服务、产品跟踪、订单查询、售后服务，都要依托于强大的数据处理能力和平台，既满足了客户需求，又提高企业效率。毋庸置疑，在电子商务时兴的当下，信息处理技术是影响快递需求量的一个重要因素。</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（3）交通因素</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交通是经济大动脉，快递离不开交通运输网络。目前，海陆空三种交通运输方式中，陆运是最为常用的一种，一个城市的交通干线建设决定了快递发展的前景，如果该地区还有大型仓储中心、物流园，那么当地的快递服务已有了较高的质量。即使第二产业发展较为落后，地区的第三产业也能促进经济增长转型。交通能够促进快递业发展，快递业也推进了地区交通道路建设和经济建设。</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此外，影响快递业务量的因素还有人口规模、消费者的心理需求、经济开放程度、快递业人才以及快递业自身专业化发展，它们共同促进了快递量增加，对其有很大的影响。</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1.1.3快递业务量预测可行性</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快递需求预测就是根据快递市场过去和现在的需求状况以及影响快递市场需求变化的因素之间的关系，利用一定的经验判断、技术方法和预测模型，应用、合适的科学方法对有关反映市场需求指标的变化以及发展趋势进行预测。随着我国快递业的快速发展，国家越来越重视快递业在经济发展中的作用，开始在每一个经济发展周期内制定相应的快递业发展规划，以此来引导和规范整个快递行业。与此同时，各级政府也重视各行业数据统计，统计资料较为完整。根据文献分析，快递业与制造业、批发零售业、电子商务业、金融业、交通运输业、房地产业等行业的发展有密切关系，这些行业都有具体的统计数据，这为快递需求量的预测提供了原始数据，从产业关联角度来讲，快递需求量的预测是可行的；区域经济行为包含着快递活动，影响快递需求，通过区域经济的相关数据与快递需求的相关性分析，发现区域经济与快递需求有着极强相关性，如GDP、社会消费品零售总额、人均居民消费支出等，从经济总量角度也可以对快递需求量进行预测。因此，现阶段快递需求量预测具有可行性。</w:t>
      </w:r>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1.1.4快递需求量预测步骤</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预测步骤是预测思路的具体表现形式，是为了更加科学地预测数据。与一般的经济领域涉及到的预测需求一样，快递需求量预测需要根据其产业特点，找到符合其特点的预测模型，从而得到更合理、更精确的预测结果。预测快递业务量具体步骤如下：</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（1）确定预测目标。预测目标的确定，对快递业务量预测来说是第一个步骤，同时也是最重要的步骤，是后续预测工作的基础。</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（2）影响因素分析。确定预测目标之后，结合相关文献，选择预测指标，尽量保证影响因素的全面性、客观性和适用性，并对其影响因素指标进行定性分</w:t>
      </w:r>
      <w:r>
        <w:rPr>
          <w:color w:val="000000" w:themeColor="text1"/>
          <w:kern w:val="0"/>
          <w:sz w:val="28"/>
        </w:rPr>
        <w:t>析</w:t>
      </w:r>
      <w:r>
        <w:rPr>
          <w:rFonts w:hint="eastAsia"/>
          <w:color w:val="000000" w:themeColor="text1"/>
          <w:kern w:val="0"/>
          <w:sz w:val="28"/>
        </w:rPr>
        <w:t>。</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数据搜集和分析。搜集预测指标的具体数据，确保数据的准确性和完整性。对数据进行必要的相关性分析，以确定其与预测目标的相关性，相关性大的为主要影响因子，相关性小的可以根据具体情况排除，不纳入后面的预测模型。</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（4）选择适当的预测方法。根据搜集到的具体数据以及快递业自身特点，本着方便预测、适用于预测目标的原则，选取合适的预测方法进行预测。</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（5）建立预测模型。根据第4步，运用相关数理统计分析方法，建立快递量需求预测模型。</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（6）预测结果分析。对预测结果的精确度进行检验和评价，使预测结果符合客观实际，具有现实意义。</w:t>
      </w:r>
    </w:p>
    <w:p>
      <w:pPr>
        <w:pStyle w:val="3"/>
        <w:ind w:left="783"/>
        <w:rPr>
          <w:rFonts w:ascii="Times New Roman" w:hAnsi="Times New Roman"/>
          <w:color w:val="000000" w:themeColor="text1"/>
        </w:rPr>
      </w:pPr>
      <w:bookmarkStart w:id="55" w:name="_Toc528526475"/>
      <w:r>
        <w:rPr>
          <w:rFonts w:hint="eastAsia" w:ascii="Times New Roman" w:hAnsi="Times New Roman"/>
          <w:color w:val="000000" w:themeColor="text1"/>
        </w:rPr>
        <w:t>1.2快递业务量指标模型构建</w:t>
      </w:r>
      <w:bookmarkEnd w:id="55"/>
    </w:p>
    <w:p>
      <w:pPr>
        <w:pStyle w:val="4"/>
        <w:widowControl/>
        <w:spacing w:before="240" w:after="60" w:line="240" w:lineRule="auto"/>
        <w:ind w:left="0" w:firstLine="0"/>
        <w:jc w:val="left"/>
        <w:rPr>
          <w:rFonts w:eastAsia="黑体"/>
          <w:bCs/>
          <w:color w:val="000000" w:themeColor="text1"/>
          <w:sz w:val="30"/>
          <w:szCs w:val="30"/>
          <w:lang w:bidi="en-US"/>
        </w:rPr>
      </w:pPr>
      <w:r>
        <w:rPr>
          <w:rFonts w:hint="eastAsia" w:eastAsia="黑体"/>
          <w:bCs/>
          <w:color w:val="000000" w:themeColor="text1"/>
          <w:sz w:val="30"/>
          <w:szCs w:val="30"/>
          <w:lang w:bidi="en-US"/>
        </w:rPr>
        <w:t>1</w:t>
      </w:r>
      <w:r>
        <w:rPr>
          <w:rFonts w:eastAsia="黑体"/>
          <w:bCs/>
          <w:color w:val="000000" w:themeColor="text1"/>
          <w:sz w:val="30"/>
          <w:szCs w:val="30"/>
          <w:lang w:bidi="en-US"/>
        </w:rPr>
        <w:t>.2.</w:t>
      </w:r>
      <w:r>
        <w:rPr>
          <w:rFonts w:hint="eastAsia" w:eastAsia="黑体"/>
          <w:bCs/>
          <w:color w:val="000000" w:themeColor="text1"/>
          <w:sz w:val="30"/>
          <w:szCs w:val="30"/>
          <w:lang w:bidi="en-US"/>
        </w:rPr>
        <w:t>1快递业务量指标体系构建</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1．影响因素指标选取原则</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指标是用来反映刻画研究对象的某一个方面，以此来评估研究对象的参数。影响因素指标是指和某一因变量有密切并且能够量化的指标。为了科学准确的预测快递需求量及需求趋势，本规划总结相关研究成果，结合泉州台商投资区市快递发展自身特性，认为快递业务量预测指标选取应遵守以下几条原则：</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（1）可行性原则</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快递业务量预测是一个精度较高的计算过程，它必须借助相关数据，由于统计制度本身的原因，有些快递影响因素指标在现阶段无法获得或者没有进行统计，尤其是预测某一地区快递业务量，数据匮乏导致快递业务量预测的准确度有待提高。因此，在选取影响指标时，应考虑数据可得性和准确性。</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（2）相关性原则</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需求影响因素要与需求量有必然的关系，才能进行预测，如果选取的指标与预测量没有很大的联系，那么最终的预测结果就会受到影响。快递与经济活动密切相关，影响因素很多，要选取有代表性、关联性大的指标，既可以减少运算量，又可以提高预测准确度。</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（3）独立性原则</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由于统计分类的不同，各种指标在设置时可能会有交叉，这样的指标会直接影响后面的研究结果，本身也没有多少意义，仅仅是增加了指标个数。因此，对相关预测指标进行筛选时，相关性小的指标体系是首选。</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2</w:t>
      </w:r>
      <w:r>
        <w:rPr>
          <w:rFonts w:hint="eastAsia" w:asciiTheme="minorEastAsia" w:hAnsiTheme="minorEastAsia" w:eastAsiaTheme="minorEastAsia"/>
          <w:color w:val="000000" w:themeColor="text1"/>
          <w:sz w:val="28"/>
          <w:szCs w:val="28"/>
        </w:rPr>
        <w:t>．快递需求量预测指标选取</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在构建快递业务量关系模型时，选取的自变量依据于经济状况、人口数以及各种数据的可获得性。根据快递需求影响因素和本章指标选取原则，在尽量保证预测准确度的情况下，本规划主要选取了影响快递需求量的经济总量类指标、居民生活消费水平类指标及社会消费类指标，国家政策和环境等宏观无法量化的指标则不予考虑，具体指标见表1-1所示。</w:t>
      </w:r>
    </w:p>
    <w:p>
      <w:pPr>
        <w:widowControl/>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1 影响因素指标体系表</w:t>
      </w:r>
    </w:p>
    <w:tbl>
      <w:tblPr>
        <w:tblStyle w:val="19"/>
        <w:tblW w:w="8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9"/>
        <w:gridCol w:w="4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3679" w:type="dxa"/>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体系</w:t>
            </w:r>
          </w:p>
        </w:tc>
        <w:tc>
          <w:tcPr>
            <w:tcW w:w="4945" w:type="dxa"/>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具体影响因素指标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3679" w:type="dxa"/>
            <w:vMerge w:val="restart"/>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快递业务量预测指标</w:t>
            </w:r>
          </w:p>
        </w:tc>
        <w:tc>
          <w:tcPr>
            <w:tcW w:w="4945"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GDP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3679"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4945"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常住人口数量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3679"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4945"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居民人均消费水平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3679"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4945" w:type="dxa"/>
            <w:vAlign w:val="center"/>
          </w:tcPr>
          <w:p>
            <w:pPr>
              <w:widowControl/>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社会消费品零售总额</w:t>
            </w:r>
          </w:p>
        </w:tc>
      </w:tr>
    </w:tbl>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1</w:t>
      </w:r>
      <w:r>
        <w:rPr>
          <w:rFonts w:eastAsia="黑体"/>
          <w:bCs/>
          <w:color w:val="000000" w:themeColor="text1"/>
          <w:sz w:val="30"/>
          <w:szCs w:val="30"/>
          <w:lang w:bidi="en-US"/>
        </w:rPr>
        <w:t>.2.2</w:t>
      </w:r>
      <w:r>
        <w:rPr>
          <w:rFonts w:hint="eastAsia" w:eastAsia="黑体"/>
          <w:bCs/>
          <w:color w:val="000000" w:themeColor="text1"/>
          <w:sz w:val="30"/>
          <w:szCs w:val="30"/>
          <w:lang w:bidi="en-US"/>
        </w:rPr>
        <w:t>快递业务量模型构建</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 多元回归关系模型的构建</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在多元回归模型中，通过多组数据，可直观、快速分析出它们之间的关系。回归分析可以准确的剂量各个因素之间的相关程度与拟合程度的高低，提高预测方程的效果。由于在实际经济问题中，一个变量往往受到多个原因变量的影响；按照“从一般到简单”的建模思路。所以，在线性回归模型中的解释变量有多个。这样的模型被称为多元线性回归模型。多元线性回归模型参数估计的原理与一元线性回归模型相同，只是计算更为复杂。</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多元线性回归模型的一般形式为：</w:t>
      </w:r>
    </w:p>
    <w:p>
      <w:pPr>
        <w:pStyle w:val="30"/>
        <w:spacing w:before="0" w:after="0" w:line="360" w:lineRule="auto"/>
        <w:ind w:left="0" w:firstLine="560"/>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position w:val="-10"/>
          <w:sz w:val="28"/>
          <w:szCs w:val="28"/>
        </w:rPr>
        <w:object>
          <v:shape id="_x0000_i1028" o:spt="75" type="#_x0000_t75" style="height:15.9pt;width:135.6pt;" o:ole="t" filled="f" o:preferrelative="t" stroked="f" coordsize="21600,21600">
            <v:path/>
            <v:fill on="f" focussize="0,0"/>
            <v:stroke on="f" joinstyle="miter"/>
            <v:imagedata r:id="rId37" o:title=""/>
            <o:lock v:ext="edit" aspectratio="t"/>
            <w10:wrap type="none"/>
            <w10:anchorlock/>
          </v:shape>
          <o:OLEObject Type="Embed" ProgID="Equation.3" ShapeID="_x0000_i1028" DrawAspect="Content" ObjectID="_1468075728" r:id="rId36">
            <o:LockedField>false</o:LockedField>
          </o:OLEObject>
        </w:objec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rPr>
        <w:t>）</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其中，</w:t>
      </w:r>
      <w:r>
        <w:rPr>
          <w:rFonts w:asciiTheme="minorEastAsia" w:hAnsiTheme="minorEastAsia" w:eastAsiaTheme="minorEastAsia"/>
          <w:color w:val="000000" w:themeColor="text1"/>
          <w:sz w:val="28"/>
          <w:szCs w:val="28"/>
        </w:rPr>
        <w:t>Y</w:t>
      </w:r>
      <w:r>
        <w:rPr>
          <w:rFonts w:hint="eastAsia" w:asciiTheme="minorEastAsia" w:hAnsiTheme="minorEastAsia" w:eastAsiaTheme="minorEastAsia"/>
          <w:color w:val="000000" w:themeColor="text1"/>
          <w:sz w:val="28"/>
          <w:szCs w:val="28"/>
        </w:rPr>
        <w:t>是被解释变量</w:t>
      </w:r>
      <w:r>
        <w:rPr>
          <w:rFonts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因变量、相依变量、内生变量</w:t>
      </w:r>
      <w:r>
        <w:rPr>
          <w:rFonts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t>X</w:t>
      </w:r>
      <w:r>
        <w:rPr>
          <w:rFonts w:hint="eastAsia" w:asciiTheme="minorEastAsia" w:hAnsiTheme="minorEastAsia" w:eastAsiaTheme="minorEastAsia"/>
          <w:color w:val="000000" w:themeColor="text1"/>
          <w:sz w:val="28"/>
          <w:szCs w:val="28"/>
        </w:rPr>
        <w:t>是解释变量</w:t>
      </w:r>
      <w:r>
        <w:rPr>
          <w:rFonts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自变量、独立变量、外生变量</w:t>
      </w:r>
      <w:r>
        <w:rPr>
          <w:rFonts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w:t>
      </w:r>
      <m:oMath>
        <m:r>
          <m:rPr>
            <m:sty m:val="p"/>
          </m:rPr>
          <w:rPr>
            <w:rFonts w:ascii="Cambria Math" w:hAnsi="Cambria Math" w:eastAsiaTheme="minorEastAsia"/>
            <w:color w:val="000000" w:themeColor="text1"/>
            <w:sz w:val="28"/>
            <w:szCs w:val="28"/>
          </w:rPr>
          <m:t>ε</m:t>
        </m:r>
      </m:oMath>
      <w:r>
        <w:rPr>
          <w:rFonts w:hint="eastAsia" w:asciiTheme="minorEastAsia" w:hAnsiTheme="minorEastAsia" w:eastAsiaTheme="minorEastAsia"/>
          <w:color w:val="000000" w:themeColor="text1"/>
          <w:sz w:val="28"/>
          <w:szCs w:val="28"/>
        </w:rPr>
        <w:t>随机误差项，</w:t>
      </w:r>
      <m:oMath>
        <m:sSub>
          <m:sSubPr>
            <m:ctrlPr>
              <w:rPr>
                <w:rFonts w:ascii="Cambria Math" w:hAnsi="Cambria Math" w:eastAsiaTheme="minorEastAsia"/>
                <w:color w:val="000000" w:themeColor="text1"/>
                <w:sz w:val="28"/>
                <w:szCs w:val="28"/>
              </w:rPr>
            </m:ctrlPr>
          </m:sSubPr>
          <m:e>
            <m:r>
              <w:rPr>
                <w:rFonts w:ascii="Cambria Math" w:hAnsi="Cambria Math" w:eastAsiaTheme="minorEastAsia"/>
                <w:color w:val="000000" w:themeColor="text1"/>
                <w:sz w:val="28"/>
                <w:szCs w:val="28"/>
              </w:rPr>
              <m:t>β</m:t>
            </m:r>
            <m:ctrlPr>
              <w:rPr>
                <w:rFonts w:ascii="Cambria Math" w:hAnsi="Cambria Math" w:eastAsiaTheme="minorEastAsia"/>
                <w:color w:val="000000" w:themeColor="text1"/>
                <w:sz w:val="28"/>
                <w:szCs w:val="28"/>
              </w:rPr>
            </m:ctrlPr>
          </m:e>
          <m:sub>
            <m:r>
              <w:rPr>
                <w:rFonts w:ascii="Cambria Math" w:hAnsi="Cambria Math" w:eastAsiaTheme="minorEastAsia"/>
                <w:color w:val="000000" w:themeColor="text1"/>
                <w:sz w:val="28"/>
                <w:szCs w:val="28"/>
              </w:rPr>
              <m:t>i</m:t>
            </m:r>
            <m:ctrlPr>
              <w:rPr>
                <w:rFonts w:ascii="Cambria Math" w:hAnsi="Cambria Math" w:eastAsiaTheme="minorEastAsia"/>
                <w:color w:val="000000" w:themeColor="text1"/>
                <w:sz w:val="28"/>
                <w:szCs w:val="28"/>
              </w:rPr>
            </m:ctrlPr>
          </m:sub>
        </m:sSub>
      </m:oMath>
      <w:r>
        <w:rPr>
          <w:rFonts w:asciiTheme="minorEastAsia" w:hAnsiTheme="minorEastAsia" w:eastAsiaTheme="minorEastAsia"/>
          <w:color w:val="000000" w:themeColor="text1"/>
          <w:sz w:val="28"/>
          <w:szCs w:val="28"/>
        </w:rPr>
        <w:t>, i=1</w:t>
      </w:r>
      <w:r>
        <w:rPr>
          <w:rFonts w:hint="eastAsia"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t>2</w:t>
      </w:r>
      <w:r>
        <w:rPr>
          <w:rFonts w:hint="eastAsia"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t>k</w:t>
      </w:r>
      <w:r>
        <w:rPr>
          <w:rFonts w:hint="eastAsia" w:asciiTheme="minorEastAsia" w:hAnsiTheme="minorEastAsia" w:eastAsiaTheme="minorEastAsia"/>
          <w:color w:val="000000" w:themeColor="text1"/>
          <w:sz w:val="28"/>
          <w:szCs w:val="28"/>
        </w:rPr>
        <w:t>是回归参数。</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具体计算步骤：</w:t>
      </w:r>
    </w:p>
    <w:p>
      <w:pPr>
        <w:pStyle w:val="30"/>
        <w:spacing w:before="0" w:after="0" w:line="360" w:lineRule="auto"/>
        <w:ind w:left="0" w:firstLine="56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(1)根据n组观察样本的原始数据，</w:t>
      </w:r>
    </w:p>
    <w:p>
      <w:pPr>
        <w:pStyle w:val="30"/>
        <w:spacing w:before="0" w:after="0" w:line="360" w:lineRule="auto"/>
        <w:ind w:left="0" w:firstLine="560"/>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position w:val="-10"/>
          <w:sz w:val="28"/>
          <w:szCs w:val="28"/>
        </w:rPr>
        <w:object>
          <v:shape id="_x0000_i1029" o:spt="75" type="#_x0000_t75" style="height:16.85pt;width:153.35pt;" o:ole="t" filled="f" o:preferrelative="t" stroked="f" coordsize="21600,21600">
            <v:path/>
            <v:fill on="f" focussize="0,0"/>
            <v:stroke on="f" joinstyle="miter"/>
            <v:imagedata r:id="rId39" o:title=""/>
            <o:lock v:ext="edit" aspectratio="t"/>
            <w10:wrap type="none"/>
            <w10:anchorlock/>
          </v:shape>
          <o:OLEObject Type="Embed" ProgID="Equation.3" ShapeID="_x0000_i1029" DrawAspect="Content" ObjectID="_1468075729" r:id="rId38">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2</w:t>
      </w:r>
      <w:r>
        <w:rPr>
          <w:rFonts w:hint="eastAsia" w:asciiTheme="minorEastAsia" w:hAnsiTheme="minorEastAsia" w:eastAsiaTheme="minorEastAsia"/>
          <w:color w:val="000000" w:themeColor="text1"/>
          <w:sz w:val="28"/>
          <w:szCs w:val="28"/>
        </w:rPr>
        <w:t>）</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写出如下矩阵：</w:t>
      </w:r>
    </w:p>
    <w:p>
      <w:pPr>
        <w:widowControl/>
        <w:spacing w:before="0" w:after="0" w:line="360" w:lineRule="auto"/>
        <w:ind w:left="0" w:firstLine="1960" w:firstLineChars="700"/>
        <w:jc w:val="left"/>
        <w:rPr>
          <w:rFonts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kern w:val="0"/>
          <w:position w:val="-66"/>
          <w:sz w:val="28"/>
          <w:szCs w:val="28"/>
        </w:rPr>
        <w:object>
          <v:shape id="_x0000_i1030" o:spt="75" type="#_x0000_t75" style="height:72pt;width:149.6pt;" o:ole="t" filled="f" o:preferrelative="t" stroked="f" coordsize="21600,21600">
            <v:path/>
            <v:fill on="f" focussize="0,0"/>
            <v:stroke on="f" joinstyle="miter"/>
            <v:imagedata r:id="rId41" o:title=""/>
            <o:lock v:ext="edit" aspectratio="t"/>
            <w10:wrap type="none"/>
            <w10:anchorlock/>
          </v:shape>
          <o:OLEObject Type="Embed" ProgID="Equation.3" ShapeID="_x0000_i1030" DrawAspect="Content" ObjectID="_1468075730" r:id="rId40">
            <o:LockedField>false</o:LockedField>
          </o:OLEObject>
        </w:object>
      </w:r>
      <w:r>
        <w:rPr>
          <w:rFonts w:hint="eastAsia" w:cs="宋体" w:asciiTheme="minorEastAsia" w:hAnsiTheme="minorEastAsia" w:eastAsiaTheme="minorEastAsia"/>
          <w:color w:val="000000" w:themeColor="text1"/>
          <w:kern w:val="0"/>
          <w:sz w:val="28"/>
          <w:szCs w:val="28"/>
        </w:rPr>
        <w:t xml:space="preserve">         </w:t>
      </w:r>
      <w:r>
        <w:rPr>
          <w:rFonts w:cs="宋体" w:asciiTheme="minorEastAsia" w:hAnsiTheme="minorEastAsia" w:eastAsiaTheme="minorEastAsia"/>
          <w:color w:val="000000" w:themeColor="text1"/>
          <w:kern w:val="0"/>
          <w:sz w:val="28"/>
          <w:szCs w:val="28"/>
        </w:rPr>
        <w:t xml:space="preserve"> </w:t>
      </w:r>
      <w:r>
        <w:rPr>
          <w:rFonts w:hint="eastAsia" w:cs="宋体" w:asciiTheme="minorEastAsia" w:hAnsiTheme="minorEastAsia" w:eastAsiaTheme="minorEastAsia"/>
          <w:color w:val="000000" w:themeColor="text1"/>
          <w:kern w:val="0"/>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3</w:t>
      </w:r>
      <w:r>
        <w:rPr>
          <w:rFonts w:hint="eastAsia" w:asciiTheme="minorEastAsia" w:hAnsiTheme="minorEastAsia" w:eastAsiaTheme="minorEastAsia"/>
          <w:color w:val="000000" w:themeColor="text1"/>
          <w:sz w:val="28"/>
          <w:szCs w:val="28"/>
        </w:rPr>
        <w:t>）</w:t>
      </w:r>
    </w:p>
    <w:p>
      <w:pPr>
        <w:widowControl/>
        <w:numPr>
          <w:ilvl w:val="0"/>
          <w:numId w:val="5"/>
        </w:numPr>
        <w:spacing w:before="0" w:after="0" w:line="360" w:lineRule="auto"/>
        <w:ind w:left="0" w:firstLine="560" w:firstLineChars="200"/>
        <w:jc w:val="lef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color w:val="000000" w:themeColor="text1"/>
          <w:kern w:val="0"/>
          <w:sz w:val="28"/>
          <w:szCs w:val="28"/>
        </w:rPr>
        <w:t>计算</w:t>
      </w:r>
      <w:r>
        <w:rPr>
          <w:rFonts w:hint="eastAsia" w:cs="宋体" w:asciiTheme="minorEastAsia" w:hAnsiTheme="minorEastAsia" w:eastAsiaTheme="minorEastAsia"/>
          <w:color w:val="000000" w:themeColor="text1"/>
          <w:kern w:val="0"/>
          <w:position w:val="-10"/>
          <w:sz w:val="28"/>
          <w:szCs w:val="28"/>
        </w:rPr>
        <w:object>
          <v:shape id="_x0000_i1031" o:spt="75" type="#_x0000_t75" style="height:18.7pt;width:113.15pt;" o:ole="t" filled="f" o:preferrelative="t" stroked="f" coordsize="21600,21600">
            <v:path/>
            <v:fill on="f" focussize="0,0"/>
            <v:stroke on="f" joinstyle="miter"/>
            <v:imagedata r:id="rId43" o:title=""/>
            <o:lock v:ext="edit" aspectratio="t"/>
            <w10:wrap type="none"/>
            <w10:anchorlock/>
          </v:shape>
          <o:OLEObject Type="Embed" ProgID="Equation.3" ShapeID="_x0000_i1031" DrawAspect="Content" ObjectID="_1468075731" r:id="rId42">
            <o:LockedField>false</o:LockedField>
          </o:OLEObject>
        </w:object>
      </w:r>
      <w:r>
        <w:rPr>
          <w:rFonts w:hint="eastAsia" w:cs="宋体" w:asciiTheme="minorEastAsia" w:hAnsiTheme="minorEastAsia" w:eastAsiaTheme="minorEastAsia"/>
          <w:color w:val="000000" w:themeColor="text1"/>
          <w:kern w:val="0"/>
          <w:sz w:val="28"/>
          <w:szCs w:val="28"/>
        </w:rPr>
        <w:t>。</w:t>
      </w:r>
    </w:p>
    <w:p>
      <w:pPr>
        <w:widowControl/>
        <w:numPr>
          <w:ilvl w:val="0"/>
          <w:numId w:val="5"/>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kern w:val="0"/>
          <w:sz w:val="28"/>
          <w:szCs w:val="28"/>
        </w:rPr>
        <w:t>计算参数向量B的最小二乘法估计</w:t>
      </w:r>
    </w:p>
    <w:p>
      <w:pPr>
        <w:widowControl/>
        <w:tabs>
          <w:tab w:val="left" w:pos="312"/>
        </w:tabs>
        <w:spacing w:before="0" w:after="0" w:line="360" w:lineRule="auto"/>
        <w:ind w:left="560" w:firstLine="2240" w:firstLineChars="800"/>
        <w:jc w:val="left"/>
        <w:rPr>
          <w:rFonts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kern w:val="0"/>
          <w:position w:val="-10"/>
          <w:sz w:val="28"/>
          <w:szCs w:val="28"/>
        </w:rPr>
        <w:object>
          <v:shape id="_x0000_i1032" o:spt="75" type="#_x0000_t75" style="height:24.3pt;width:99.1pt;" o:ole="t" filled="f" o:preferrelative="t" stroked="f" coordsize="21600,21600">
            <v:path/>
            <v:fill on="f" focussize="0,0"/>
            <v:stroke on="f" joinstyle="miter"/>
            <v:imagedata r:id="rId45" o:title=""/>
            <o:lock v:ext="edit" aspectratio="t"/>
            <w10:wrap type="none"/>
            <w10:anchorlock/>
          </v:shape>
          <o:OLEObject Type="Embed" ProgID="Equation.3" ShapeID="_x0000_i1032" DrawAspect="Content" ObjectID="_1468075732" r:id="rId44">
            <o:LockedField>false</o:LockedField>
          </o:OLEObject>
        </w:object>
      </w:r>
      <w:r>
        <w:rPr>
          <w:rFonts w:hint="eastAsia" w:cs="宋体" w:asciiTheme="minorEastAsia" w:hAnsiTheme="minorEastAsia" w:eastAsiaTheme="minorEastAsia"/>
          <w:color w:val="000000" w:themeColor="text1"/>
          <w:kern w:val="0"/>
          <w:sz w:val="28"/>
          <w:szCs w:val="28"/>
        </w:rPr>
        <w:t xml:space="preserve">     </w:t>
      </w:r>
      <w:r>
        <w:rPr>
          <w:rFonts w:cs="宋体" w:asciiTheme="minorEastAsia" w:hAnsiTheme="minorEastAsia" w:eastAsiaTheme="minorEastAsia"/>
          <w:color w:val="000000" w:themeColor="text1"/>
          <w:kern w:val="0"/>
          <w:sz w:val="28"/>
          <w:szCs w:val="28"/>
        </w:rPr>
        <w:t xml:space="preserve">     </w:t>
      </w:r>
      <w:r>
        <w:rPr>
          <w:rFonts w:hint="eastAsia" w:cs="宋体" w:asciiTheme="minorEastAsia" w:hAnsiTheme="minorEastAsia" w:eastAsiaTheme="minorEastAsia"/>
          <w:color w:val="000000" w:themeColor="text1"/>
          <w:kern w:val="0"/>
          <w:sz w:val="28"/>
          <w:szCs w:val="28"/>
        </w:rPr>
        <w:t xml:space="preserve">      </w:t>
      </w:r>
      <w:r>
        <w:rPr>
          <w:rFonts w:cs="宋体" w:asciiTheme="minorEastAsia" w:hAnsiTheme="minorEastAsia" w:eastAsiaTheme="minorEastAsia"/>
          <w:color w:val="000000" w:themeColor="text1"/>
          <w:kern w:val="0"/>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4</w:t>
      </w:r>
      <w:r>
        <w:rPr>
          <w:rFonts w:hint="eastAsia" w:asciiTheme="minorEastAsia" w:hAnsiTheme="minorEastAsia" w:eastAsiaTheme="minorEastAsia"/>
          <w:color w:val="000000" w:themeColor="text1"/>
          <w:sz w:val="28"/>
          <w:szCs w:val="28"/>
        </w:rPr>
        <w:t>）</w:t>
      </w:r>
    </w:p>
    <w:p>
      <w:pPr>
        <w:widowControl/>
        <w:numPr>
          <w:ilvl w:val="0"/>
          <w:numId w:val="5"/>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计算应变量观测值向量</w:t>
      </w:r>
      <w:r>
        <w:rPr>
          <w:rFonts w:hint="eastAsia" w:asciiTheme="minorEastAsia" w:hAnsiTheme="minorEastAsia" w:eastAsiaTheme="minorEastAsia"/>
          <w:color w:val="000000" w:themeColor="text1"/>
          <w:position w:val="-4"/>
          <w:sz w:val="28"/>
          <w:szCs w:val="28"/>
        </w:rPr>
        <w:object>
          <v:shape id="_x0000_i1033" o:spt="75" type="#_x0000_t75" style="height:13.1pt;width:11.2pt;" o:ole="t" filled="f" o:preferrelative="t" stroked="f" coordsize="21600,21600">
            <v:path/>
            <v:fill on="f" focussize="0,0"/>
            <v:stroke on="f" joinstyle="miter"/>
            <v:imagedata r:id="rId47" o:title=""/>
            <o:lock v:ext="edit" aspectratio="t"/>
            <w10:wrap type="none"/>
            <w10:anchorlock/>
          </v:shape>
          <o:OLEObject Type="Embed" ProgID="Equation.3" ShapeID="_x0000_i1033" DrawAspect="Content" ObjectID="_1468075733" r:id="rId46">
            <o:LockedField>false</o:LockedField>
          </o:OLEObject>
        </w:object>
      </w:r>
      <w:r>
        <w:rPr>
          <w:rFonts w:hint="eastAsia" w:asciiTheme="minorEastAsia" w:hAnsiTheme="minorEastAsia" w:eastAsiaTheme="minorEastAsia"/>
          <w:color w:val="000000" w:themeColor="text1"/>
          <w:sz w:val="28"/>
          <w:szCs w:val="28"/>
        </w:rPr>
        <w:t>的拟合值向量</w:t>
      </w:r>
    </w:p>
    <w:p>
      <w:pPr>
        <w:widowControl/>
        <w:tabs>
          <w:tab w:val="left" w:pos="312"/>
        </w:tabs>
        <w:spacing w:before="0" w:after="0" w:line="360" w:lineRule="auto"/>
        <w:ind w:left="560" w:firstLine="2240" w:firstLineChars="8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0"/>
          <w:sz w:val="28"/>
          <w:szCs w:val="28"/>
        </w:rPr>
        <w:object>
          <v:shape id="_x0000_i1034" o:spt="75" type="#_x0000_t75" style="height:24.3pt;width:60.8pt;" o:ole="t" filled="f" o:preferrelative="t" stroked="f" coordsize="21600,21600">
            <v:path/>
            <v:fill on="f" focussize="0,0"/>
            <v:stroke on="f" joinstyle="miter"/>
            <v:imagedata r:id="rId49" o:title=""/>
            <o:lock v:ext="edit" aspectratio="t"/>
            <w10:wrap type="none"/>
            <w10:anchorlock/>
          </v:shape>
          <o:OLEObject Type="Embed" ProgID="Equation.3" ShapeID="_x0000_i1034" DrawAspect="Content" ObjectID="_1468075734" r:id="rId48">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5</w:t>
      </w:r>
      <w:r>
        <w:rPr>
          <w:rFonts w:hint="eastAsia" w:asciiTheme="minorEastAsia" w:hAnsiTheme="minorEastAsia" w:eastAsiaTheme="minorEastAsia"/>
          <w:color w:val="000000" w:themeColor="text1"/>
          <w:sz w:val="28"/>
          <w:szCs w:val="28"/>
        </w:rPr>
        <w:t>）</w:t>
      </w:r>
    </w:p>
    <w:p>
      <w:pPr>
        <w:widowControl/>
        <w:numPr>
          <w:ilvl w:val="0"/>
          <w:numId w:val="5"/>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计算残差平方和</w:t>
      </w:r>
      <w:r>
        <w:rPr>
          <w:color w:val="000000" w:themeColor="text1"/>
          <w:position w:val="-14"/>
        </w:rPr>
        <w:object>
          <v:shape id="_x0000_i1035" o:spt="75" type="#_x0000_t75" style="height:21.5pt;width:29pt;" o:ole="t" filled="f" o:preferrelative="t" stroked="f" coordsize="21600,21600">
            <v:path/>
            <v:fill on="f" focussize="0,0"/>
            <v:stroke on="f" joinstyle="miter"/>
            <v:imagedata r:id="rId51" o:title=""/>
            <o:lock v:ext="edit" aspectratio="t"/>
            <w10:wrap type="none"/>
            <w10:anchorlock/>
          </v:shape>
          <o:OLEObject Type="Embed" ProgID="Equation.3" ShapeID="_x0000_i1035" DrawAspect="Content" ObjectID="_1468075735" r:id="rId50">
            <o:LockedField>false</o:LockedField>
          </o:OLEObject>
        </w:object>
      </w:r>
      <w:r>
        <w:rPr>
          <w:rFonts w:hint="eastAsia" w:asciiTheme="minorEastAsia" w:hAnsiTheme="minorEastAsia" w:eastAsiaTheme="minorEastAsia"/>
          <w:color w:val="000000" w:themeColor="text1"/>
          <w:sz w:val="28"/>
          <w:szCs w:val="28"/>
        </w:rPr>
        <w:t xml:space="preserve">  及残差的标准差</w:t>
      </w:r>
    </w:p>
    <w:p>
      <w:pPr>
        <w:widowControl/>
        <w:tabs>
          <w:tab w:val="left" w:pos="312"/>
        </w:tabs>
        <w:spacing w:before="0" w:after="0" w:line="360" w:lineRule="auto"/>
        <w:ind w:left="420" w:firstLine="2520" w:firstLineChars="1200"/>
        <w:jc w:val="left"/>
        <w:rPr>
          <w:rFonts w:asciiTheme="minorEastAsia" w:hAnsiTheme="minorEastAsia" w:eastAsiaTheme="minorEastAsia"/>
          <w:color w:val="000000" w:themeColor="text1"/>
          <w:sz w:val="28"/>
          <w:szCs w:val="28"/>
        </w:rPr>
      </w:pPr>
      <w:r>
        <w:rPr>
          <w:color w:val="000000" w:themeColor="text1"/>
          <w:position w:val="-16"/>
        </w:rPr>
        <w:object>
          <v:shape id="_x0000_i1036" o:spt="75" type="#_x0000_t75" style="height:27.1pt;width:123.45pt;" o:ole="t" filled="f" o:preferrelative="t" stroked="f" coordsize="21600,21600">
            <v:path/>
            <v:fill on="f" focussize="0,0"/>
            <v:stroke on="f" joinstyle="miter"/>
            <v:imagedata r:id="rId53" o:title=""/>
            <o:lock v:ext="edit" aspectratio="t"/>
            <w10:wrap type="none"/>
            <w10:anchorlock/>
          </v:shape>
          <o:OLEObject Type="Embed" ProgID="Equation.3" ShapeID="_x0000_i1036" DrawAspect="Content" ObjectID="_1468075736" r:id="rId52">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（1-</w:t>
      </w:r>
      <w:r>
        <w:rPr>
          <w:rFonts w:asciiTheme="minorEastAsia" w:hAnsiTheme="minorEastAsia" w:eastAsiaTheme="minorEastAsia"/>
          <w:color w:val="000000" w:themeColor="text1"/>
          <w:sz w:val="28"/>
          <w:szCs w:val="28"/>
        </w:rPr>
        <w:t>6</w:t>
      </w:r>
      <w:r>
        <w:rPr>
          <w:rFonts w:hint="eastAsia" w:asciiTheme="minorEastAsia" w:hAnsiTheme="minorEastAsia" w:eastAsiaTheme="minorEastAsia"/>
          <w:color w:val="000000" w:themeColor="text1"/>
          <w:sz w:val="28"/>
          <w:szCs w:val="28"/>
        </w:rPr>
        <w:t>）</w:t>
      </w:r>
    </w:p>
    <w:p>
      <w:pPr>
        <w:widowControl/>
        <w:numPr>
          <w:ilvl w:val="0"/>
          <w:numId w:val="5"/>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计算多重决定系数</w:t>
      </w:r>
      <w:r>
        <w:rPr>
          <w:rFonts w:hint="eastAsia" w:asciiTheme="minorEastAsia" w:hAnsiTheme="minorEastAsia" w:eastAsiaTheme="minorEastAsia"/>
          <w:color w:val="000000" w:themeColor="text1"/>
          <w:position w:val="-4"/>
          <w:sz w:val="28"/>
          <w:szCs w:val="28"/>
        </w:rPr>
        <w:object>
          <v:shape id="_x0000_i1037" o:spt="75" type="#_x0000_t75" style="height:14.95pt;width:15.9pt;" o:ole="t" filled="f" o:preferrelative="t" stroked="f" coordsize="21600,21600">
            <v:path/>
            <v:fill on="f" focussize="0,0"/>
            <v:stroke on="f" joinstyle="miter"/>
            <v:imagedata r:id="rId55" o:title=""/>
            <o:lock v:ext="edit" aspectratio="t"/>
            <w10:wrap type="none"/>
            <w10:anchorlock/>
          </v:shape>
          <o:OLEObject Type="Embed" ProgID="Equation.3" ShapeID="_x0000_i1037" DrawAspect="Content" ObjectID="_1468075737" r:id="rId54">
            <o:LockedField>false</o:LockedField>
          </o:OLEObject>
        </w:object>
      </w:r>
      <w:r>
        <w:rPr>
          <w:rFonts w:hint="eastAsia" w:asciiTheme="minorEastAsia" w:hAnsiTheme="minorEastAsia" w:eastAsiaTheme="minorEastAsia"/>
          <w:color w:val="000000" w:themeColor="text1"/>
          <w:sz w:val="28"/>
          <w:szCs w:val="28"/>
        </w:rPr>
        <w:t>和修正的多重系数</w:t>
      </w:r>
      <w:r>
        <w:rPr>
          <w:rFonts w:hint="eastAsia" w:asciiTheme="minorEastAsia" w:hAnsiTheme="minorEastAsia" w:eastAsiaTheme="minorEastAsia"/>
          <w:color w:val="000000" w:themeColor="text1"/>
          <w:position w:val="-4"/>
          <w:sz w:val="28"/>
          <w:szCs w:val="28"/>
        </w:rPr>
        <w:object>
          <v:shape id="_x0000_i1038" o:spt="75" type="#_x0000_t75" style="height:16.85pt;width:16.85pt;" o:ole="t" filled="f" o:preferrelative="t" stroked="f" coordsize="21600,21600">
            <v:path/>
            <v:fill on="f" focussize="0,0"/>
            <v:stroke on="f" joinstyle="miter"/>
            <v:imagedata r:id="rId57" o:title=""/>
            <o:lock v:ext="edit" aspectratio="t"/>
            <w10:wrap type="none"/>
            <w10:anchorlock/>
          </v:shape>
          <o:OLEObject Type="Embed" ProgID="Equation.3" ShapeID="_x0000_i1038" DrawAspect="Content" ObjectID="_1468075738" r:id="rId56">
            <o:LockedField>false</o:LockedField>
          </o:OLEObject>
        </w:object>
      </w:r>
      <w:r>
        <w:rPr>
          <w:rFonts w:hint="eastAsia" w:asciiTheme="minorEastAsia" w:hAnsiTheme="minorEastAsia" w:eastAsiaTheme="minorEastAsia"/>
          <w:color w:val="000000" w:themeColor="text1"/>
          <w:sz w:val="28"/>
          <w:szCs w:val="28"/>
        </w:rPr>
        <w:t>，作拟合检验。</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position w:val="-38"/>
          <w:sz w:val="28"/>
          <w:szCs w:val="28"/>
        </w:rPr>
        <w:object>
          <v:shape id="_x0000_i1039" o:spt="75" type="#_x0000_t75" style="height:43pt;width:234.7pt;" o:ole="t" filled="f" o:preferrelative="t" stroked="f" coordsize="21600,21600">
            <v:path/>
            <v:fill on="f" focussize="0,0"/>
            <v:stroke on="f" joinstyle="miter"/>
            <v:imagedata r:id="rId59" o:title=""/>
            <o:lock v:ext="edit" aspectratio="t"/>
            <w10:wrap type="none"/>
            <w10:anchorlock/>
          </v:shape>
          <o:OLEObject Type="Embed" ProgID="Equation.3" ShapeID="_x0000_i1039" DrawAspect="Content" ObjectID="_1468075739" r:id="rId58">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7</w:t>
      </w:r>
      <w:r>
        <w:rPr>
          <w:rFonts w:hint="eastAsia" w:asciiTheme="minorEastAsia" w:hAnsiTheme="minorEastAsia" w:eastAsiaTheme="minorEastAsia"/>
          <w:color w:val="000000" w:themeColor="text1"/>
          <w:sz w:val="28"/>
          <w:szCs w:val="28"/>
        </w:rPr>
        <w:t>）</w:t>
      </w:r>
    </w:p>
    <w:p>
      <w:pPr>
        <w:widowControl/>
        <w:numPr>
          <w:ilvl w:val="0"/>
          <w:numId w:val="5"/>
        </w:numPr>
        <w:tabs>
          <w:tab w:val="clear" w:pos="312"/>
        </w:tabs>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计算参数估计</w:t>
      </w:r>
      <w:r>
        <w:rPr>
          <w:rFonts w:hint="eastAsia" w:asciiTheme="minorEastAsia" w:hAnsiTheme="minorEastAsia" w:eastAsiaTheme="minorEastAsia"/>
          <w:color w:val="000000" w:themeColor="text1"/>
          <w:position w:val="-10"/>
          <w:sz w:val="28"/>
          <w:szCs w:val="28"/>
        </w:rPr>
        <w:object>
          <v:shape id="_x0000_i1040" o:spt="75" type="#_x0000_t75" style="height:24.3pt;width:84.15pt;" o:ole="t" filled="f" o:preferrelative="t" stroked="f" coordsize="21600,21600">
            <v:path/>
            <v:fill on="f" focussize="0,0"/>
            <v:stroke on="f" joinstyle="miter"/>
            <v:imagedata r:id="rId61" o:title=""/>
            <o:lock v:ext="edit" aspectratio="t"/>
            <w10:wrap type="none"/>
            <w10:anchorlock/>
          </v:shape>
          <o:OLEObject Type="Embed" ProgID="Equation.3" ShapeID="_x0000_i1040" DrawAspect="Content" ObjectID="_1468075740" r:id="rId60">
            <o:LockedField>false</o:LockedField>
          </o:OLEObject>
        </w:object>
      </w:r>
      <w:r>
        <w:rPr>
          <w:rFonts w:hint="eastAsia" w:asciiTheme="minorEastAsia" w:hAnsiTheme="minorEastAsia" w:eastAsiaTheme="minorEastAsia"/>
          <w:color w:val="000000" w:themeColor="text1"/>
          <w:sz w:val="28"/>
          <w:szCs w:val="28"/>
        </w:rPr>
        <w:t>的标准差：</w:t>
      </w:r>
      <w:r>
        <w:rPr>
          <w:rFonts w:hint="eastAsia" w:asciiTheme="minorEastAsia" w:hAnsiTheme="minorEastAsia" w:eastAsiaTheme="minorEastAsia"/>
          <w:color w:val="000000" w:themeColor="text1"/>
          <w:position w:val="-28"/>
          <w:sz w:val="28"/>
          <w:szCs w:val="28"/>
        </w:rPr>
        <w:object>
          <v:shape id="_x0000_i1041" o:spt="75" type="#_x0000_t75" style="height:33.65pt;width:72.95pt;" o:ole="t" filled="f" o:preferrelative="t" stroked="f" coordsize="21600,21600">
            <v:path/>
            <v:fill on="f" focussize="0,0"/>
            <v:stroke on="f" joinstyle="miter"/>
            <v:imagedata r:id="rId63" o:title=""/>
            <o:lock v:ext="edit" aspectratio="t"/>
            <w10:wrap type="none"/>
            <w10:anchorlock/>
          </v:shape>
          <o:OLEObject Type="Embed" ProgID="Equation.3" ShapeID="_x0000_i1041" DrawAspect="Content" ObjectID="_1468075741" r:id="rId62">
            <o:LockedField>false</o:LockedField>
          </o:OLEObject>
        </w:object>
      </w:r>
      <w:r>
        <w:rPr>
          <w:rFonts w:hint="eastAsia" w:asciiTheme="minorEastAsia" w:hAnsiTheme="minorEastAsia" w:eastAsiaTheme="minorEastAsia"/>
          <w:color w:val="000000" w:themeColor="text1"/>
          <w:sz w:val="28"/>
          <w:szCs w:val="28"/>
        </w:rPr>
        <w:t>其中</w:t>
      </w:r>
      <w:r>
        <w:rPr>
          <w:rFonts w:hint="eastAsia" w:asciiTheme="minorEastAsia" w:hAnsiTheme="minorEastAsia" w:eastAsiaTheme="minorEastAsia"/>
          <w:color w:val="000000" w:themeColor="text1"/>
          <w:position w:val="-18"/>
          <w:sz w:val="28"/>
          <w:szCs w:val="28"/>
        </w:rPr>
        <w:object>
          <v:shape id="_x0000_i1042" o:spt="75" type="#_x0000_t75" style="height:21.5pt;width:16.85pt;" o:ole="t" filled="f" o:preferrelative="t" stroked="f" coordsize="21600,21600">
            <v:path/>
            <v:fill on="f" focussize="0,0"/>
            <v:stroke on="f" joinstyle="miter"/>
            <v:imagedata r:id="rId65" o:title=""/>
            <o:lock v:ext="edit" aspectratio="t"/>
            <w10:wrap type="none"/>
            <w10:anchorlock/>
          </v:shape>
          <o:OLEObject Type="Embed" ProgID="Equation.3" ShapeID="_x0000_i1042" DrawAspect="Content" ObjectID="_1468075742" r:id="rId64">
            <o:LockedField>false</o:LockedField>
          </o:OLEObject>
        </w:object>
      </w:r>
      <w:r>
        <w:rPr>
          <w:rFonts w:hint="eastAsia" w:asciiTheme="minorEastAsia" w:hAnsiTheme="minorEastAsia" w:eastAsiaTheme="minorEastAsia"/>
          <w:color w:val="000000" w:themeColor="text1"/>
          <w:sz w:val="28"/>
          <w:szCs w:val="28"/>
        </w:rPr>
        <w:t xml:space="preserve">是矩阵 </w:t>
      </w:r>
      <w:r>
        <w:rPr>
          <w:rFonts w:hint="eastAsia" w:asciiTheme="minorEastAsia" w:hAnsiTheme="minorEastAsia" w:eastAsiaTheme="minorEastAsia"/>
          <w:color w:val="000000" w:themeColor="text1"/>
          <w:position w:val="-10"/>
          <w:sz w:val="28"/>
          <w:szCs w:val="28"/>
        </w:rPr>
        <w:object>
          <v:shape id="_x0000_i1043" o:spt="75" type="#_x0000_t75" style="height:18.7pt;width:42.1pt;" o:ole="t" filled="f" o:preferrelative="t" stroked="f" coordsize="21600,21600">
            <v:path/>
            <v:fill on="f" focussize="0,0"/>
            <v:stroke on="f" joinstyle="miter"/>
            <v:imagedata r:id="rId67" o:title=""/>
            <o:lock v:ext="edit" aspectratio="t"/>
            <w10:wrap type="none"/>
            <w10:anchorlock/>
          </v:shape>
          <o:OLEObject Type="Embed" ProgID="Equation.3" ShapeID="_x0000_i1043" DrawAspect="Content" ObjectID="_1468075743" r:id="rId66">
            <o:LockedField>false</o:LockedField>
          </o:OLEObject>
        </w:object>
      </w:r>
      <w:r>
        <w:rPr>
          <w:rFonts w:hint="eastAsia" w:asciiTheme="minorEastAsia" w:hAnsiTheme="minorEastAsia" w:eastAsiaTheme="minorEastAsia"/>
          <w:color w:val="000000" w:themeColor="text1"/>
          <w:sz w:val="28"/>
          <w:szCs w:val="28"/>
        </w:rPr>
        <w:t>中第</w:t>
      </w:r>
      <w:r>
        <w:rPr>
          <w:rFonts w:hint="eastAsia" w:asciiTheme="minorEastAsia" w:hAnsiTheme="minorEastAsia" w:eastAsiaTheme="minorEastAsia"/>
          <w:color w:val="000000" w:themeColor="text1"/>
          <w:position w:val="-10"/>
          <w:sz w:val="28"/>
          <w:szCs w:val="28"/>
        </w:rPr>
        <w:object>
          <v:shape id="_x0000_i1044" o:spt="75" type="#_x0000_t75" style="height:14.95pt;width:9.35pt;" o:ole="t" filled="f" o:preferrelative="t" stroked="f" coordsize="21600,21600">
            <v:path/>
            <v:fill on="f" focussize="0,0"/>
            <v:stroke on="f" joinstyle="miter"/>
            <v:imagedata r:id="rId69" o:title=""/>
            <o:lock v:ext="edit" aspectratio="t"/>
            <w10:wrap type="none"/>
            <w10:anchorlock/>
          </v:shape>
          <o:OLEObject Type="Embed" ProgID="Equation.3" ShapeID="_x0000_i1044" DrawAspect="Content" ObjectID="_1468075744" r:id="rId68">
            <o:LockedField>false</o:LockedField>
          </o:OLEObject>
        </w:object>
      </w:r>
      <w:r>
        <w:rPr>
          <w:rFonts w:hint="eastAsia" w:asciiTheme="minorEastAsia" w:hAnsiTheme="minorEastAsia" w:eastAsiaTheme="minorEastAsia"/>
          <w:color w:val="000000" w:themeColor="text1"/>
          <w:sz w:val="28"/>
          <w:szCs w:val="28"/>
        </w:rPr>
        <w:t>行第</w:t>
      </w:r>
      <w:r>
        <w:rPr>
          <w:rFonts w:hint="eastAsia" w:asciiTheme="minorEastAsia" w:hAnsiTheme="minorEastAsia" w:eastAsiaTheme="minorEastAsia"/>
          <w:color w:val="000000" w:themeColor="text1"/>
          <w:position w:val="-10"/>
          <w:sz w:val="28"/>
          <w:szCs w:val="28"/>
        </w:rPr>
        <w:object>
          <v:shape id="_x0000_i1045" o:spt="75" type="#_x0000_t75" style="height:14.95pt;width:9.35pt;" o:ole="t" filled="f" o:preferrelative="t" stroked="f" coordsize="21600,21600">
            <v:path/>
            <v:fill on="f" focussize="0,0"/>
            <v:stroke on="f" joinstyle="miter"/>
            <v:imagedata r:id="rId71" o:title=""/>
            <o:lock v:ext="edit" aspectratio="t"/>
            <w10:wrap type="none"/>
            <w10:anchorlock/>
          </v:shape>
          <o:OLEObject Type="Embed" ProgID="Equation.3" ShapeID="_x0000_i1045" DrawAspect="Content" ObjectID="_1468075745" r:id="rId70">
            <o:LockedField>false</o:LockedField>
          </o:OLEObject>
        </w:object>
      </w:r>
      <w:r>
        <w:rPr>
          <w:rFonts w:hint="eastAsia" w:asciiTheme="minorEastAsia" w:hAnsiTheme="minorEastAsia" w:eastAsiaTheme="minorEastAsia"/>
          <w:color w:val="000000" w:themeColor="text1"/>
          <w:sz w:val="28"/>
          <w:szCs w:val="28"/>
        </w:rPr>
        <w:t>列位置上的元素。</w:t>
      </w:r>
    </w:p>
    <w:p>
      <w:pPr>
        <w:widowControl/>
        <w:numPr>
          <w:ilvl w:val="0"/>
          <w:numId w:val="5"/>
        </w:numPr>
        <w:tabs>
          <w:tab w:val="clear" w:pos="312"/>
        </w:tabs>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计算检验统计量</w:t>
      </w:r>
      <w:r>
        <w:rPr>
          <w:rFonts w:hint="eastAsia" w:asciiTheme="minorEastAsia" w:hAnsiTheme="minorEastAsia" w:eastAsiaTheme="minorEastAsia"/>
          <w:color w:val="000000" w:themeColor="text1"/>
          <w:position w:val="-6"/>
          <w:sz w:val="28"/>
          <w:szCs w:val="28"/>
        </w:rPr>
        <w:object>
          <v:shape id="_x0000_i1046" o:spt="75" type="#_x0000_t75" style="height:12.15pt;width:6.55pt;" o:ole="t" filled="f" o:preferrelative="t" stroked="f" coordsize="21600,21600">
            <v:path/>
            <v:fill on="f" focussize="0,0"/>
            <v:stroke on="f" joinstyle="miter"/>
            <v:imagedata r:id="rId73" o:title=""/>
            <o:lock v:ext="edit" aspectratio="t"/>
            <w10:wrap type="none"/>
            <w10:anchorlock/>
          </v:shape>
          <o:OLEObject Type="Embed" ProgID="Equation.3" ShapeID="_x0000_i1046" DrawAspect="Content" ObjectID="_1468075746" r:id="rId72">
            <o:LockedField>false</o:LockedField>
          </o:OLEObject>
        </w:object>
      </w:r>
      <w:r>
        <w:rPr>
          <w:rFonts w:hint="eastAsia" w:asciiTheme="minorEastAsia" w:hAnsiTheme="minorEastAsia" w:eastAsiaTheme="minorEastAsia"/>
          <w:color w:val="000000" w:themeColor="text1"/>
          <w:sz w:val="28"/>
          <w:szCs w:val="28"/>
        </w:rPr>
        <w:t>和</w:t>
      </w:r>
      <w:r>
        <w:rPr>
          <w:rFonts w:hint="eastAsia" w:asciiTheme="minorEastAsia" w:hAnsiTheme="minorEastAsia" w:eastAsiaTheme="minorEastAsia"/>
          <w:color w:val="000000" w:themeColor="text1"/>
          <w:position w:val="-4"/>
          <w:sz w:val="28"/>
          <w:szCs w:val="28"/>
        </w:rPr>
        <w:object>
          <v:shape id="_x0000_i1047" o:spt="75" type="#_x0000_t75" style="height:13.1pt;width:13.1pt;" o:ole="t" filled="f" o:preferrelative="t" stroked="f" coordsize="21600,21600">
            <v:path/>
            <v:fill on="f" focussize="0,0"/>
            <v:stroke on="f" joinstyle="miter"/>
            <v:imagedata r:id="rId75" o:title=""/>
            <o:lock v:ext="edit" aspectratio="t"/>
            <w10:wrap type="none"/>
            <w10:anchorlock/>
          </v:shape>
          <o:OLEObject Type="Embed" ProgID="Equation.3" ShapeID="_x0000_i1047" DrawAspect="Content" ObjectID="_1468075747" r:id="rId74">
            <o:LockedField>false</o:LockedField>
          </o:OLEObject>
        </w:object>
      </w:r>
      <w:r>
        <w:rPr>
          <w:rFonts w:hint="eastAsia" w:asciiTheme="minorEastAsia" w:hAnsiTheme="minorEastAsia" w:eastAsiaTheme="minorEastAsia"/>
          <w:color w:val="000000" w:themeColor="text1"/>
          <w:sz w:val="28"/>
          <w:szCs w:val="28"/>
        </w:rPr>
        <w:t>的值，作回归参数及回归方程的显著性检验。</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在原假设</w:t>
      </w:r>
      <w:r>
        <w:rPr>
          <w:rFonts w:hint="eastAsia" w:asciiTheme="minorEastAsia" w:hAnsiTheme="minorEastAsia" w:eastAsiaTheme="minorEastAsia"/>
          <w:color w:val="000000" w:themeColor="text1"/>
          <w:position w:val="-18"/>
          <w:sz w:val="28"/>
          <w:szCs w:val="28"/>
        </w:rPr>
        <w:object>
          <v:shape id="_x0000_i1048" o:spt="75" type="#_x0000_t75" style="height:20.55pt;width:119.7pt;" o:ole="t" filled="f" o:preferrelative="t" stroked="f" coordsize="21600,21600">
            <v:path/>
            <v:fill on="f" focussize="0,0"/>
            <v:stroke on="f" joinstyle="miter"/>
            <v:imagedata r:id="rId77" o:title=""/>
            <o:lock v:ext="edit" aspectratio="t"/>
            <w10:wrap type="none"/>
            <w10:anchorlock/>
          </v:shape>
          <o:OLEObject Type="Embed" ProgID="Equation.3" ShapeID="_x0000_i1048" DrawAspect="Content" ObjectID="_1468075748" r:id="rId76">
            <o:LockedField>false</o:LockedField>
          </o:OLEObject>
        </w:object>
      </w:r>
      <w:r>
        <w:rPr>
          <w:rFonts w:hint="eastAsia" w:asciiTheme="minorEastAsia" w:hAnsiTheme="minorEastAsia" w:eastAsiaTheme="minorEastAsia"/>
          <w:color w:val="000000" w:themeColor="text1"/>
          <w:sz w:val="28"/>
          <w:szCs w:val="28"/>
        </w:rPr>
        <w:t>下的</w:t>
      </w:r>
      <w:r>
        <w:rPr>
          <w:rFonts w:hint="eastAsia" w:asciiTheme="minorEastAsia" w:hAnsiTheme="minorEastAsia" w:eastAsiaTheme="minorEastAsia"/>
          <w:color w:val="000000" w:themeColor="text1"/>
          <w:position w:val="-6"/>
          <w:sz w:val="28"/>
          <w:szCs w:val="28"/>
        </w:rPr>
        <w:object>
          <v:shape id="_x0000_i1049" o:spt="75" type="#_x0000_t75" style="height:12.15pt;width:6.55pt;" o:ole="t" filled="f" o:preferrelative="t" stroked="f" coordsize="21600,21600">
            <v:path/>
            <v:fill on="f" focussize="0,0"/>
            <v:stroke on="f" joinstyle="miter"/>
            <v:imagedata r:id="rId79" o:title=""/>
            <o:lock v:ext="edit" aspectratio="t"/>
            <w10:wrap type="none"/>
            <w10:anchorlock/>
          </v:shape>
          <o:OLEObject Type="Embed" ProgID="Equation.3" ShapeID="_x0000_i1049" DrawAspect="Content" ObjectID="_1468075749" r:id="rId78">
            <o:LockedField>false</o:LockedField>
          </o:OLEObject>
        </w:object>
      </w:r>
      <w:r>
        <w:rPr>
          <w:rFonts w:hint="eastAsia" w:asciiTheme="minorEastAsia" w:hAnsiTheme="minorEastAsia" w:eastAsiaTheme="minorEastAsia"/>
          <w:color w:val="000000" w:themeColor="text1"/>
          <w:sz w:val="28"/>
          <w:szCs w:val="28"/>
        </w:rPr>
        <w:t>统计量为：</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position w:val="-20"/>
          <w:sz w:val="28"/>
          <w:szCs w:val="28"/>
        </w:rPr>
        <w:object>
          <v:shape id="_x0000_i1050" o:spt="75" type="#_x0000_t75" style="height:27.1pt;width:69.2pt;" o:ole="t" filled="f" o:preferrelative="t" stroked="f" coordsize="21600,21600">
            <v:path/>
            <v:fill on="f" focussize="0,0"/>
            <v:stroke on="f" joinstyle="miter"/>
            <v:imagedata r:id="rId81" o:title=""/>
            <o:lock v:ext="edit" aspectratio="t"/>
            <w10:wrap type="none"/>
            <w10:anchorlock/>
          </v:shape>
          <o:OLEObject Type="Embed" ProgID="Equation.3" ShapeID="_x0000_i1050" DrawAspect="Content" ObjectID="_1468075750" r:id="rId80">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8</w:t>
      </w:r>
      <w:r>
        <w:rPr>
          <w:rFonts w:hint="eastAsia" w:asciiTheme="minorEastAsia" w:hAnsiTheme="minorEastAsia" w:eastAsiaTheme="minorEastAsia"/>
          <w:color w:val="000000" w:themeColor="text1"/>
          <w:sz w:val="28"/>
          <w:szCs w:val="28"/>
        </w:rPr>
        <w:t>）</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在原假设</w:t>
      </w:r>
      <w:r>
        <w:rPr>
          <w:rFonts w:hint="eastAsia" w:asciiTheme="minorEastAsia" w:hAnsiTheme="minorEastAsia" w:eastAsiaTheme="minorEastAsia"/>
          <w:color w:val="000000" w:themeColor="text1"/>
          <w:position w:val="-18"/>
          <w:sz w:val="28"/>
          <w:szCs w:val="28"/>
        </w:rPr>
        <w:object>
          <v:shape id="_x0000_i1051" o:spt="75" type="#_x0000_t75" style="height:21.5pt;width:119.7pt;" o:ole="t" filled="f" o:preferrelative="t" stroked="f" coordsize="21600,21600">
            <v:path/>
            <v:fill on="f" focussize="0,0"/>
            <v:stroke on="f" joinstyle="miter"/>
            <v:imagedata r:id="rId83" o:title=""/>
            <o:lock v:ext="edit" aspectratio="t"/>
            <w10:wrap type="none"/>
            <w10:anchorlock/>
          </v:shape>
          <o:OLEObject Type="Embed" ProgID="Equation.3" ShapeID="_x0000_i1051" DrawAspect="Content" ObjectID="_1468075751" r:id="rId82">
            <o:LockedField>false</o:LockedField>
          </o:OLEObject>
        </w:object>
      </w:r>
      <w:r>
        <w:rPr>
          <w:rFonts w:hint="eastAsia" w:asciiTheme="minorEastAsia" w:hAnsiTheme="minorEastAsia" w:eastAsiaTheme="minorEastAsia"/>
          <w:color w:val="000000" w:themeColor="text1"/>
          <w:sz w:val="28"/>
          <w:szCs w:val="28"/>
        </w:rPr>
        <w:t>下的</w:t>
      </w:r>
      <w:r>
        <w:rPr>
          <w:rFonts w:hint="eastAsia" w:asciiTheme="minorEastAsia" w:hAnsiTheme="minorEastAsia" w:eastAsiaTheme="minorEastAsia"/>
          <w:color w:val="000000" w:themeColor="text1"/>
          <w:position w:val="-4"/>
          <w:sz w:val="28"/>
          <w:szCs w:val="28"/>
        </w:rPr>
        <w:object>
          <v:shape id="_x0000_i1052" o:spt="75" type="#_x0000_t75" style="height:13.1pt;width:13.1pt;" o:ole="t" filled="f" o:preferrelative="t" stroked="f" coordsize="21600,21600">
            <v:path/>
            <v:fill on="f" focussize="0,0"/>
            <v:stroke on="f" joinstyle="miter"/>
            <v:imagedata r:id="rId85" o:title=""/>
            <o:lock v:ext="edit" aspectratio="t"/>
            <w10:wrap type="none"/>
            <w10:anchorlock/>
          </v:shape>
          <o:OLEObject Type="Embed" ProgID="Equation.3" ShapeID="_x0000_i1052" DrawAspect="Content" ObjectID="_1468075752" r:id="rId84">
            <o:LockedField>false</o:LockedField>
          </o:OLEObject>
        </w:object>
      </w:r>
      <w:r>
        <w:rPr>
          <w:rFonts w:hint="eastAsia" w:asciiTheme="minorEastAsia" w:hAnsiTheme="minorEastAsia" w:eastAsiaTheme="minorEastAsia"/>
          <w:color w:val="000000" w:themeColor="text1"/>
          <w:sz w:val="28"/>
          <w:szCs w:val="28"/>
        </w:rPr>
        <w:t>统计量为：</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position w:val="-36"/>
          <w:sz w:val="28"/>
          <w:szCs w:val="28"/>
        </w:rPr>
        <w:object>
          <v:shape id="_x0000_i1053" o:spt="75" type="#_x0000_t75" style="height:39.25pt;width:117.8pt;" o:ole="t" filled="f" o:preferrelative="t" stroked="f" coordsize="21600,21600">
            <v:path/>
            <v:fill on="f" focussize="0,0"/>
            <v:stroke on="f" joinstyle="miter"/>
            <v:imagedata r:id="rId87" o:title=""/>
            <o:lock v:ext="edit" aspectratio="t"/>
            <w10:wrap type="none"/>
            <w10:anchorlock/>
          </v:shape>
          <o:OLEObject Type="Embed" ProgID="Equation.3" ShapeID="_x0000_i1053" DrawAspect="Content" ObjectID="_1468075753" r:id="rId86">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9</w:t>
      </w:r>
      <w:r>
        <w:rPr>
          <w:rFonts w:hint="eastAsia" w:asciiTheme="minorEastAsia" w:hAnsiTheme="minorEastAsia" w:eastAsiaTheme="minorEastAsia"/>
          <w:color w:val="000000" w:themeColor="text1"/>
          <w:sz w:val="28"/>
          <w:szCs w:val="28"/>
        </w:rPr>
        <w:t>）</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cs="宋体" w:asciiTheme="minorEastAsia" w:hAnsiTheme="minorEastAsia" w:eastAsiaTheme="minorEastAsia"/>
          <w:color w:val="000000" w:themeColor="text1"/>
          <w:kern w:val="0"/>
          <w:sz w:val="28"/>
          <w:szCs w:val="28"/>
        </w:rPr>
        <w:t>(</w:t>
      </w:r>
      <w:r>
        <w:rPr>
          <w:rFonts w:asciiTheme="minorEastAsia" w:hAnsiTheme="minorEastAsia" w:eastAsiaTheme="minorEastAsia"/>
          <w:color w:val="000000" w:themeColor="text1"/>
          <w:sz w:val="28"/>
          <w:szCs w:val="28"/>
        </w:rPr>
        <w:t>9</w:t>
      </w:r>
      <w:r>
        <w:rPr>
          <w:rFonts w:hint="eastAsia" w:asciiTheme="minorEastAsia" w:hAnsiTheme="minorEastAsia" w:eastAsiaTheme="minorEastAsia"/>
          <w:color w:val="000000" w:themeColor="text1"/>
          <w:sz w:val="28"/>
          <w:szCs w:val="28"/>
        </w:rPr>
        <w:t>)若模型未通过检验，则重新建立模型并重复上述步骤；若模型通过检验，且满足模型的假设，则可利用此模型进行实际应用。</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2.</w:t>
      </w:r>
      <w:r>
        <w:rPr>
          <w:rFonts w:hint="eastAsia" w:asciiTheme="minorEastAsia" w:hAnsiTheme="minorEastAsia" w:eastAsiaTheme="minorEastAsia"/>
          <w:color w:val="000000" w:themeColor="text1"/>
          <w:sz w:val="28"/>
          <w:szCs w:val="28"/>
        </w:rPr>
        <w:t>基于时间序列的快递业务量预测模型构建</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目前对快递业务量预测模型的研究很少，但对货运量预测模型的研究较为完善成熟，因此本规划在选择快递业务量预测模型时，首先，需借鉴货运量预测模型：其次，考虑快递业务量数据特征。通过查阅相关资料可知，快递业是近十年重点发展起来，对以往数据统计不足，数据量较小；刚发展起来的前几年增长平缓，但近几年增长迅速。</w:t>
      </w:r>
      <w:r>
        <w:rPr>
          <w:color w:val="000000" w:themeColor="text1"/>
          <w:kern w:val="0"/>
          <w:sz w:val="28"/>
        </w:rPr>
        <w:t>本规划选用</w:t>
      </w:r>
      <w:r>
        <w:rPr>
          <w:rFonts w:hint="eastAsia"/>
          <w:color w:val="000000" w:themeColor="text1"/>
          <w:kern w:val="0"/>
          <w:sz w:val="28"/>
        </w:rPr>
        <w:t>趋势回归预测模型构建</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模型建立的假设条件：</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（1）假设事物在发展的过程中，没有跳跃式变化，通常属于渐进变化。</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（2）假定根据过去的资料或数据建立的趋势回归模型能适应和代表未来变化的情况。</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趋势模型建立如下：</w:t>
      </w:r>
    </w:p>
    <w:p>
      <w:pPr>
        <w:widowControl/>
        <w:spacing w:before="0" w:after="0" w:line="360" w:lineRule="auto"/>
        <w:ind w:left="0" w:firstLine="560" w:firstLineChars="200"/>
        <w:jc w:val="left"/>
        <w:rPr>
          <w:rFonts w:asciiTheme="minorEastAsia" w:hAnsiTheme="minorEastAsia" w:eastAsiaTheme="minorEastAsia"/>
          <w:b/>
          <w:color w:val="000000" w:themeColor="text1"/>
          <w:sz w:val="28"/>
          <w:szCs w:val="28"/>
        </w:rPr>
      </w:pP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m:oMath>
        <m:r>
          <w:rPr>
            <w:rFonts w:ascii="Cambria Math" w:hAnsi="Cambria Math" w:eastAsiaTheme="minorEastAsia"/>
            <w:color w:val="000000" w:themeColor="text1"/>
            <w:sz w:val="28"/>
            <w:szCs w:val="28"/>
          </w:rPr>
          <m:t>Y=f(t)</m:t>
        </m:r>
      </m:oMath>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（1-1</w:t>
      </w:r>
      <w:r>
        <w:rPr>
          <w:rFonts w:asciiTheme="minorEastAsia" w:hAnsiTheme="minorEastAsia" w:eastAsiaTheme="minorEastAsia"/>
          <w:color w:val="000000" w:themeColor="text1"/>
          <w:sz w:val="28"/>
          <w:szCs w:val="28"/>
        </w:rPr>
        <w:t>0</w:t>
      </w:r>
      <w:r>
        <w:rPr>
          <w:rFonts w:hint="eastAsia" w:asciiTheme="minorEastAsia" w:hAnsiTheme="minorEastAsia" w:eastAsiaTheme="minorEastAsia"/>
          <w:color w:val="000000" w:themeColor="text1"/>
          <w:sz w:val="28"/>
          <w:szCs w:val="28"/>
        </w:rPr>
        <w:t>）</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其中时间</w:t>
      </w:r>
      <w:r>
        <w:rPr>
          <w:rFonts w:asciiTheme="minorEastAsia" w:hAnsiTheme="minorEastAsia" w:eastAsiaTheme="minorEastAsia"/>
          <w:color w:val="000000" w:themeColor="text1"/>
          <w:sz w:val="28"/>
          <w:szCs w:val="28"/>
        </w:rPr>
        <w:t>t</w:t>
      </w:r>
      <w:r>
        <w:rPr>
          <w:rFonts w:hint="eastAsia" w:asciiTheme="minorEastAsia" w:hAnsiTheme="minorEastAsia" w:eastAsiaTheme="minorEastAsia"/>
          <w:color w:val="000000" w:themeColor="text1"/>
          <w:sz w:val="28"/>
          <w:szCs w:val="28"/>
        </w:rPr>
        <w:t>为自变量，时序数值</w:t>
      </w:r>
      <w:r>
        <w:rPr>
          <w:rFonts w:asciiTheme="minorEastAsia" w:hAnsiTheme="minorEastAsia" w:eastAsiaTheme="minorEastAsia"/>
          <w:color w:val="000000" w:themeColor="text1"/>
          <w:sz w:val="28"/>
          <w:szCs w:val="28"/>
        </w:rPr>
        <w:t>Y</w:t>
      </w:r>
      <w:r>
        <w:rPr>
          <w:rFonts w:hint="eastAsia" w:asciiTheme="minorEastAsia" w:hAnsiTheme="minorEastAsia" w:eastAsiaTheme="minorEastAsia"/>
          <w:color w:val="000000" w:themeColor="text1"/>
          <w:sz w:val="28"/>
          <w:szCs w:val="28"/>
        </w:rPr>
        <w:t>为因变量。</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根据快递业务量的数据特征，本规划选取多项式曲线预测模型。</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多项式曲线预测模型建立如下：</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0"/>
          <w:sz w:val="28"/>
          <w:szCs w:val="28"/>
        </w:rPr>
        <w:object>
          <v:shape id="_x0000_i1054" o:spt="75" type="#_x0000_t75" style="height:16.85pt;width:72pt;" o:ole="t" filled="f" o:preferrelative="t" stroked="f" coordsize="21600,21600">
            <v:path/>
            <v:fill on="f" focussize="0,0"/>
            <v:stroke on="f" joinstyle="miter"/>
            <v:imagedata r:id="rId89" o:title=""/>
            <o:lock v:ext="edit" aspectratio="t"/>
            <w10:wrap type="none"/>
            <w10:anchorlock/>
          </v:shape>
          <o:OLEObject Type="Embed" ProgID="Equation.3" ShapeID="_x0000_i1054" DrawAspect="Content" ObjectID="_1468075754" r:id="rId88">
            <o:LockedField>false</o:LockedField>
          </o:OLEObject>
        </w:object>
      </w:r>
      <w:r>
        <w:rPr>
          <w:rFonts w:hint="eastAsia" w:asciiTheme="minorEastAsia" w:hAnsiTheme="minorEastAsia" w:eastAsiaTheme="minorEastAsia"/>
          <w:color w:val="000000" w:themeColor="text1"/>
          <w:position w:val="-14"/>
          <w:sz w:val="28"/>
          <w:szCs w:val="28"/>
        </w:rPr>
        <w:object>
          <v:shape id="_x0000_i1055" o:spt="75" type="#_x0000_t75" style="height:21.5pt;width:155.2pt;" o:ole="t" filled="f" o:preferrelative="t" stroked="f" coordsize="21600,21600">
            <v:path/>
            <v:fill on="f" focussize="0,0"/>
            <v:stroke on="f" joinstyle="miter"/>
            <v:imagedata r:id="rId91" o:title=""/>
            <o:lock v:ext="edit" aspectratio="t"/>
            <w10:wrap type="none"/>
            <w10:anchorlock/>
          </v:shape>
          <o:OLEObject Type="Embed" ProgID="Equation.3" ShapeID="_x0000_i1055" DrawAspect="Content" ObjectID="_1468075755" r:id="rId90">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（1-11）   </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多项式回归趋势方程参数的确定，可以通过添加趋势线获得回归方程，从而确定参数值。</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对搜集到的快递业务量数据进行分析处理得出，本规划需采用二次多项式趋势回归对快递业务量进行预测。</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3. GM(1</w:t>
      </w:r>
      <w:r>
        <w:rPr>
          <w:rFonts w:hint="eastAsia"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rPr>
        <w:t>灰色预测模型构建</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w:t>
      </w:r>
      <w:r>
        <w:rPr>
          <w:color w:val="000000" w:themeColor="text1"/>
          <w:kern w:val="0"/>
          <w:sz w:val="28"/>
        </w:rPr>
        <w:t>GM(1</w:t>
      </w:r>
      <w:r>
        <w:rPr>
          <w:rFonts w:hint="eastAsia"/>
          <w:color w:val="000000" w:themeColor="text1"/>
          <w:kern w:val="0"/>
          <w:sz w:val="28"/>
        </w:rPr>
        <w:t>，</w:t>
      </w:r>
      <w:r>
        <w:rPr>
          <w:color w:val="000000" w:themeColor="text1"/>
          <w:kern w:val="0"/>
          <w:sz w:val="28"/>
        </w:rPr>
        <w:t>1)</w:t>
      </w:r>
      <w:r>
        <w:rPr>
          <w:rFonts w:hint="eastAsia"/>
          <w:color w:val="000000" w:themeColor="text1"/>
          <w:kern w:val="0"/>
          <w:sz w:val="28"/>
        </w:rPr>
        <w:t>模型基本原理</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灰色预测模型是一种对含有不确定性因素的系统进行预测的模型，即灰色预测是对既含有已知信息又含有不确定信息的系统进行预测，就是对在一定范围内变化的、与时间有关的灰色过程进行预测。它是应用模糊数学原理的一种预测方法，是对随机的原始时间序列数据进行累加生成处理，使生成符合一定规律的序列</w:t>
      </w:r>
      <w:r>
        <w:rPr>
          <w:color w:val="000000" w:themeColor="text1"/>
          <w:kern w:val="0"/>
          <w:sz w:val="28"/>
        </w:rPr>
        <w:t>(</w:t>
      </w:r>
      <w:r>
        <w:rPr>
          <w:rFonts w:hint="eastAsia"/>
          <w:color w:val="000000" w:themeColor="text1"/>
          <w:kern w:val="0"/>
          <w:sz w:val="28"/>
        </w:rPr>
        <w:t>一次或多次累加处理产生</w:t>
      </w:r>
      <w:r>
        <w:rPr>
          <w:color w:val="000000" w:themeColor="text1"/>
          <w:kern w:val="0"/>
          <w:sz w:val="28"/>
        </w:rPr>
        <w:t>)</w:t>
      </w:r>
      <w:r>
        <w:rPr>
          <w:rFonts w:hint="eastAsia"/>
          <w:color w:val="000000" w:themeColor="text1"/>
          <w:kern w:val="0"/>
          <w:sz w:val="28"/>
        </w:rPr>
        <w:t>，然后建立微分方程来模拟该生成序列，求解微分方程，将此微分方程所得的预测值还原，即恢复原时间序列的预测值。</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（2）</w:t>
      </w:r>
      <w:r>
        <w:rPr>
          <w:color w:val="000000" w:themeColor="text1"/>
          <w:kern w:val="0"/>
          <w:sz w:val="28"/>
        </w:rPr>
        <w:t>GM(1</w:t>
      </w:r>
      <w:r>
        <w:rPr>
          <w:rFonts w:hint="eastAsia"/>
          <w:color w:val="000000" w:themeColor="text1"/>
          <w:kern w:val="0"/>
          <w:sz w:val="28"/>
        </w:rPr>
        <w:t>，</w:t>
      </w:r>
      <w:r>
        <w:rPr>
          <w:color w:val="000000" w:themeColor="text1"/>
          <w:kern w:val="0"/>
          <w:sz w:val="28"/>
        </w:rPr>
        <w:t>1)</w:t>
      </w:r>
      <w:r>
        <w:rPr>
          <w:rFonts w:hint="eastAsia"/>
          <w:color w:val="000000" w:themeColor="text1"/>
          <w:kern w:val="0"/>
          <w:sz w:val="28"/>
        </w:rPr>
        <w:t>模型基本原理</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根据灰色预测模型的原理进行预测，步骤如下：</w:t>
      </w:r>
    </w:p>
    <w:p>
      <w:pPr>
        <w:widowControl/>
        <w:numPr>
          <w:ilvl w:val="0"/>
          <w:numId w:val="6"/>
        </w:numPr>
        <w:tabs>
          <w:tab w:val="left" w:pos="465"/>
        </w:tabs>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数据处理</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设原始时间序列</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4"/>
          <w:sz w:val="28"/>
          <w:szCs w:val="28"/>
        </w:rPr>
        <w:object>
          <v:shape id="_x0000_i1056" o:spt="75" type="#_x0000_t75" style="height:21.5pt;width:243.1pt;" o:ole="t" filled="f" o:preferrelative="t" stroked="f" coordsize="21600,21600">
            <v:path/>
            <v:fill on="f" focussize="0,0"/>
            <v:stroke on="f" joinstyle="miter"/>
            <v:imagedata r:id="rId93" o:title=""/>
            <o:lock v:ext="edit" aspectratio="t"/>
            <w10:wrap type="none"/>
            <w10:anchorlock/>
          </v:shape>
          <o:OLEObject Type="Embed" ProgID="Equation.3" ShapeID="_x0000_i1056" DrawAspect="Content" ObjectID="_1468075756" r:id="rId92">
            <o:LockedField>false</o:LockedField>
          </o:OLEObject>
        </w:objec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一阶累加生成新数列</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4"/>
          <w:sz w:val="28"/>
          <w:szCs w:val="28"/>
        </w:rPr>
        <w:object>
          <v:shape id="_x0000_i1057" o:spt="75" type="#_x0000_t75" style="height:21.5pt;width:237.5pt;" o:ole="t" filled="f" o:preferrelative="t" stroked="f" coordsize="21600,21600">
            <v:path/>
            <v:fill on="f" focussize="0,0"/>
            <v:stroke on="f" joinstyle="miter"/>
            <v:imagedata r:id="rId95" o:title=""/>
            <o:lock v:ext="edit" aspectratio="t"/>
            <w10:wrap type="none"/>
            <w10:anchorlock/>
          </v:shape>
          <o:OLEObject Type="Embed" ProgID="Equation.3" ShapeID="_x0000_i1057" DrawAspect="Content" ObjectID="_1468075757" r:id="rId94">
            <o:LockedField>false</o:LockedField>
          </o:OLEObject>
        </w:objec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其中</w:t>
      </w:r>
      <w:r>
        <w:rPr>
          <w:rFonts w:hint="eastAsia" w:asciiTheme="minorEastAsia" w:hAnsiTheme="minorEastAsia" w:eastAsiaTheme="minorEastAsia"/>
          <w:color w:val="000000" w:themeColor="text1"/>
          <w:position w:val="-16"/>
          <w:sz w:val="28"/>
          <w:szCs w:val="28"/>
        </w:rPr>
        <w:object>
          <v:shape id="_x0000_i1058" o:spt="75" type="#_x0000_t75" style="height:23.4pt;width:172.05pt;" o:ole="t" filled="f" o:preferrelative="t" stroked="f" coordsize="21600,21600">
            <v:path/>
            <v:fill on="f" focussize="0,0"/>
            <v:stroke on="f" joinstyle="miter"/>
            <v:imagedata r:id="rId97" o:title=""/>
            <o:lock v:ext="edit" aspectratio="t"/>
            <w10:wrap type="none"/>
            <w10:anchorlock/>
          </v:shape>
          <o:OLEObject Type="Embed" ProgID="Equation.3" ShapeID="_x0000_i1058" DrawAspect="Content" ObjectID="_1468075758" r:id="rId96">
            <o:LockedField>false</o:LockedField>
          </o:OLEObject>
        </w:object>
      </w:r>
    </w:p>
    <w:p>
      <w:pPr>
        <w:widowControl/>
        <w:numPr>
          <w:ilvl w:val="0"/>
          <w:numId w:val="7"/>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建立微分方程和构造矩阵</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建立一阶微分方程为：</w:t>
      </w:r>
      <w:r>
        <w:rPr>
          <w:rFonts w:hint="eastAsia" w:asciiTheme="minorEastAsia" w:hAnsiTheme="minorEastAsia" w:eastAsiaTheme="minorEastAsia"/>
          <w:color w:val="000000" w:themeColor="text1"/>
          <w:position w:val="-24"/>
          <w:sz w:val="28"/>
          <w:szCs w:val="28"/>
        </w:rPr>
        <w:object>
          <v:shape id="_x0000_i1059" o:spt="75" type="#_x0000_t75" style="height:31.8pt;width:98.2pt;" o:ole="t" filled="f" o:preferrelative="t" stroked="f" coordsize="21600,21600">
            <v:path/>
            <v:fill on="f" focussize="0,0"/>
            <v:stroke on="f" joinstyle="miter"/>
            <v:imagedata r:id="rId99" o:title=""/>
            <o:lock v:ext="edit" aspectratio="t"/>
            <w10:wrap type="none"/>
            <w10:anchorlock/>
          </v:shape>
          <o:OLEObject Type="Embed" ProgID="Equation.3" ShapeID="_x0000_i1059" DrawAspect="Content" ObjectID="_1468075759" r:id="rId98">
            <o:LockedField>false</o:LockedField>
          </o:OLEObject>
        </w:object>
      </w:r>
      <w:r>
        <w:rPr>
          <w:rFonts w:hint="eastAsia" w:asciiTheme="minorEastAsia" w:hAnsiTheme="minorEastAsia" w:eastAsiaTheme="minorEastAsia"/>
          <w:color w:val="000000" w:themeColor="text1"/>
          <w:sz w:val="28"/>
          <w:szCs w:val="28"/>
        </w:rPr>
        <w:t>，该一个变量的一阶微分方程，记作</w:t>
      </w:r>
      <w:r>
        <w:rPr>
          <w:rFonts w:hint="eastAsia" w:asciiTheme="minorEastAsia" w:hAnsiTheme="minorEastAsia" w:eastAsiaTheme="minorEastAsia"/>
          <w:color w:val="000000" w:themeColor="text1"/>
          <w:position w:val="-10"/>
          <w:sz w:val="28"/>
          <w:szCs w:val="28"/>
        </w:rPr>
        <w:object>
          <v:shape id="_x0000_i1060" o:spt="75" type="#_x0000_t75" style="height:16.85pt;width:42.1pt;" o:ole="t" filled="f" o:preferrelative="t" stroked="f" coordsize="21600,21600">
            <v:path/>
            <v:fill on="f" focussize="0,0"/>
            <v:stroke on="f" joinstyle="miter"/>
            <v:imagedata r:id="rId101" o:title=""/>
            <o:lock v:ext="edit" aspectratio="t"/>
            <w10:wrap type="none"/>
            <w10:anchorlock/>
          </v:shape>
          <o:OLEObject Type="Embed" ProgID="Equation.3" ShapeID="_x0000_i1060" DrawAspect="Content" ObjectID="_1468075760" r:id="rId100">
            <o:LockedField>false</o:LockedField>
          </o:OLEObject>
        </w:object>
      </w:r>
      <w:r>
        <w:rPr>
          <w:rFonts w:hint="eastAsia" w:asciiTheme="minorEastAsia" w:hAnsiTheme="minorEastAsia" w:eastAsiaTheme="minorEastAsia"/>
          <w:color w:val="000000" w:themeColor="text1"/>
          <w:sz w:val="28"/>
          <w:szCs w:val="28"/>
        </w:rPr>
        <w:t>模型。</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构造矩阵B：</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0"/>
          <w:sz w:val="28"/>
          <w:szCs w:val="28"/>
        </w:rPr>
        <w:object>
          <v:shape id="_x0000_i1061" o:spt="75" type="#_x0000_t75" style="height:16.85pt;width:72pt;" o:ole="t" filled="f" o:preferrelative="t" stroked="f" coordsize="21600,21600">
            <v:path/>
            <v:fill on="f" focussize="0,0"/>
            <v:stroke on="f" joinstyle="miter"/>
            <v:imagedata r:id="rId89" o:title=""/>
            <o:lock v:ext="edit" aspectratio="t"/>
            <w10:wrap type="none"/>
            <w10:anchorlock/>
          </v:shape>
          <o:OLEObject Type="Embed" ProgID="Equation.3" ShapeID="_x0000_i1061" DrawAspect="Content" ObjectID="_1468075761" r:id="rId102">
            <o:LockedField>false</o:LockedField>
          </o:OLEObject>
        </w:object>
      </w:r>
      <w:r>
        <w:rPr>
          <w:rFonts w:hint="eastAsia"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position w:val="-110"/>
          <w:sz w:val="28"/>
          <w:szCs w:val="28"/>
        </w:rPr>
        <w:object>
          <v:shape id="_x0000_i1062" o:spt="75" type="#_x0000_t75" style="height:115.95pt;width:187.95pt;" o:ole="t" filled="f" o:preferrelative="t" stroked="f" coordsize="21600,21600">
            <v:path/>
            <v:fill on="f" focussize="0,0"/>
            <v:stroke on="f" joinstyle="miter"/>
            <v:imagedata r:id="rId104" o:title=""/>
            <o:lock v:ext="edit" aspectratio="t"/>
            <w10:wrap type="none"/>
            <w10:anchorlock/>
          </v:shape>
          <o:OLEObject Type="Embed" ProgID="Equation.3" ShapeID="_x0000_i1062" DrawAspect="Content" ObjectID="_1468075762" r:id="rId103">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（1-1</w:t>
      </w:r>
      <w:r>
        <w:rPr>
          <w:rFonts w:asciiTheme="minorEastAsia" w:hAnsiTheme="minorEastAsia" w:eastAsiaTheme="minorEastAsia"/>
          <w:color w:val="000000" w:themeColor="text1"/>
          <w:sz w:val="28"/>
          <w:szCs w:val="28"/>
        </w:rPr>
        <w:t>2</w:t>
      </w:r>
      <w:r>
        <w:rPr>
          <w:rFonts w:hint="eastAsia" w:asciiTheme="minorEastAsia" w:hAnsiTheme="minorEastAsia" w:eastAsiaTheme="minorEastAsia"/>
          <w:color w:val="000000" w:themeColor="text1"/>
          <w:sz w:val="28"/>
          <w:szCs w:val="28"/>
        </w:rPr>
        <w:t xml:space="preserve">） </w:t>
      </w:r>
    </w:p>
    <w:p>
      <w:pPr>
        <w:widowControl/>
        <w:numPr>
          <w:ilvl w:val="0"/>
          <w:numId w:val="7"/>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矩阵计算</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记参数列为A，则</w:t>
      </w:r>
      <w:r>
        <w:rPr>
          <w:rFonts w:hint="eastAsia" w:asciiTheme="minorEastAsia" w:hAnsiTheme="minorEastAsia" w:eastAsiaTheme="minorEastAsia"/>
          <w:color w:val="000000" w:themeColor="text1"/>
          <w:position w:val="-10"/>
          <w:sz w:val="28"/>
          <w:szCs w:val="28"/>
        </w:rPr>
        <w:object>
          <v:shape id="_x0000_i1063" o:spt="75" type="#_x0000_t75" style="height:21.5pt;width:60.8pt;" o:ole="t" filled="f" o:preferrelative="t" stroked="f" coordsize="21600,21600">
            <v:path/>
            <v:fill on="f" focussize="0,0"/>
            <v:stroke on="f" joinstyle="miter"/>
            <v:imagedata r:id="rId106" o:title=""/>
            <o:lock v:ext="edit" aspectratio="t"/>
            <w10:wrap type="none"/>
            <w10:anchorlock/>
          </v:shape>
          <o:OLEObject Type="Embed" ProgID="Equation.3" ShapeID="_x0000_i1063" DrawAspect="Content" ObjectID="_1468075763" r:id="rId105">
            <o:LockedField>false</o:LockedField>
          </o:OLEObject>
        </w:object>
      </w:r>
      <w:r>
        <w:rPr>
          <w:rFonts w:hint="eastAsia" w:asciiTheme="minorEastAsia" w:hAnsiTheme="minorEastAsia" w:eastAsiaTheme="minorEastAsia"/>
          <w:color w:val="000000" w:themeColor="text1"/>
          <w:sz w:val="28"/>
          <w:szCs w:val="28"/>
        </w:rPr>
        <w:t>用最小二乘法求解可得：</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30"/>
          <w:sz w:val="28"/>
          <w:szCs w:val="28"/>
        </w:rPr>
        <w:object>
          <v:shape id="_x0000_i1064" o:spt="75" type="#_x0000_t75" style="height:36.45pt;width:112.2pt;" o:ole="t" filled="f" o:preferrelative="t" stroked="f" coordsize="21600,21600">
            <v:path/>
            <v:fill on="f" focussize="0,0"/>
            <v:stroke on="f" joinstyle="miter"/>
            <v:imagedata r:id="rId108" o:title=""/>
            <o:lock v:ext="edit" aspectratio="t"/>
            <w10:wrap type="none"/>
            <w10:anchorlock/>
          </v:shape>
          <o:OLEObject Type="Embed" ProgID="Equation.3" ShapeID="_x0000_i1064" DrawAspect="Content" ObjectID="_1468075764" r:id="rId107">
            <o:LockedField>false</o:LockedField>
          </o:OLEObject>
        </w:objec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由该式进行矩阵运算可求的参数</w:t>
      </w:r>
      <w:r>
        <w:rPr>
          <w:rFonts w:hint="eastAsia" w:asciiTheme="minorEastAsia" w:hAnsiTheme="minorEastAsia" w:eastAsiaTheme="minorEastAsia"/>
          <w:color w:val="000000" w:themeColor="text1"/>
          <w:position w:val="-6"/>
          <w:sz w:val="28"/>
          <w:szCs w:val="28"/>
        </w:rPr>
        <w:object>
          <v:shape id="_x0000_i1065" o:spt="75" type="#_x0000_t75" style="height:11.2pt;width:28.05pt;" o:ole="t" filled="f" o:preferrelative="t" stroked="f" coordsize="21600,21600">
            <v:path/>
            <v:fill on="f" focussize="0,0"/>
            <v:stroke on="f" joinstyle="miter"/>
            <v:imagedata r:id="rId110" o:title=""/>
            <o:lock v:ext="edit" aspectratio="t"/>
            <w10:wrap type="none"/>
            <w10:anchorlock/>
          </v:shape>
          <o:OLEObject Type="Embed" ProgID="Equation.3" ShapeID="_x0000_i1065" DrawAspect="Content" ObjectID="_1468075765" r:id="rId109">
            <o:LockedField>false</o:LockedField>
          </o:OLEObject>
        </w:object>
      </w:r>
      <w:r>
        <w:rPr>
          <w:rFonts w:hint="eastAsia" w:asciiTheme="minorEastAsia" w:hAnsiTheme="minorEastAsia" w:eastAsiaTheme="minorEastAsia"/>
          <w:color w:val="000000" w:themeColor="text1"/>
          <w:sz w:val="28"/>
          <w:szCs w:val="28"/>
        </w:rPr>
        <w:t>。</w:t>
      </w:r>
    </w:p>
    <w:p>
      <w:pPr>
        <w:widowControl/>
        <w:numPr>
          <w:ilvl w:val="0"/>
          <w:numId w:val="7"/>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求出预测模型</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将参数代入时间函数得一次累加生成序列的预测模型：</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position w:val="-28"/>
          <w:sz w:val="28"/>
          <w:szCs w:val="28"/>
        </w:rPr>
        <w:object>
          <v:shape id="_x0000_i1066" o:spt="75" type="#_x0000_t75" style="height:33.65pt;width:141.2pt;" o:ole="t" filled="f" o:preferrelative="t" stroked="f" coordsize="21600,21600">
            <v:path/>
            <v:fill on="f" focussize="0,0"/>
            <v:stroke on="f" joinstyle="miter"/>
            <v:imagedata r:id="rId112" o:title=""/>
            <o:lock v:ext="edit" aspectratio="t"/>
            <w10:wrap type="none"/>
            <w10:anchorlock/>
          </v:shape>
          <o:OLEObject Type="Embed" ProgID="Equation.3" ShapeID="_x0000_i1066" DrawAspect="Content" ObjectID="_1468075766" r:id="rId111">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（1-1</w:t>
      </w:r>
      <w:r>
        <w:rPr>
          <w:rFonts w:asciiTheme="minorEastAsia" w:hAnsiTheme="minorEastAsia" w:eastAsiaTheme="minorEastAsia"/>
          <w:color w:val="000000" w:themeColor="text1"/>
          <w:sz w:val="28"/>
          <w:szCs w:val="28"/>
        </w:rPr>
        <w:t>3</w:t>
      </w:r>
      <w:r>
        <w:rPr>
          <w:rFonts w:hint="eastAsia" w:asciiTheme="minorEastAsia" w:hAnsiTheme="minorEastAsia" w:eastAsiaTheme="minorEastAsia"/>
          <w:color w:val="000000" w:themeColor="text1"/>
          <w:sz w:val="28"/>
          <w:szCs w:val="28"/>
        </w:rPr>
        <w:t xml:space="preserve">） </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再由还原公式</w:t>
      </w:r>
      <w:r>
        <w:rPr>
          <w:rFonts w:hint="eastAsia" w:asciiTheme="minorEastAsia" w:hAnsiTheme="minorEastAsia" w:eastAsiaTheme="minorEastAsia"/>
          <w:color w:val="000000" w:themeColor="text1"/>
          <w:position w:val="-10"/>
          <w:sz w:val="28"/>
          <w:szCs w:val="28"/>
        </w:rPr>
        <w:object>
          <v:shape id="_x0000_i1067" o:spt="75" type="#_x0000_t75" style="height:17.75pt;width:134.65pt;" o:ole="t" filled="f" o:preferrelative="t" stroked="f" coordsize="21600,21600">
            <v:path/>
            <v:fill on="f" focussize="0,0"/>
            <v:stroke on="f" joinstyle="miter"/>
            <v:imagedata r:id="rId114" o:title=""/>
            <o:lock v:ext="edit" aspectratio="t"/>
            <w10:wrap type="none"/>
            <w10:anchorlock/>
          </v:shape>
          <o:OLEObject Type="Embed" ProgID="Equation.3" ShapeID="_x0000_i1067" DrawAspect="Content" ObjectID="_1468075767" r:id="rId113">
            <o:LockedField>false</o:LockedField>
          </o:OLEObject>
        </w:object>
      </w:r>
      <w:r>
        <w:rPr>
          <w:rFonts w:hint="eastAsia" w:asciiTheme="minorEastAsia" w:hAnsiTheme="minorEastAsia" w:eastAsiaTheme="minorEastAsia"/>
          <w:color w:val="000000" w:themeColor="text1"/>
          <w:sz w:val="28"/>
          <w:szCs w:val="28"/>
        </w:rPr>
        <w:t>进行累减运算，可还原各个预测值。</w:t>
      </w:r>
    </w:p>
    <w:p>
      <w:pPr>
        <w:widowControl/>
        <w:spacing w:before="0" w:after="0" w:line="360" w:lineRule="auto"/>
        <w:ind w:left="560" w:firstLine="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0"/>
          <w:sz w:val="28"/>
          <w:szCs w:val="28"/>
        </w:rPr>
        <w:t>（3）</w:t>
      </w:r>
      <w:r>
        <w:rPr>
          <w:rFonts w:hint="eastAsia" w:asciiTheme="minorEastAsia" w:hAnsiTheme="minorEastAsia" w:eastAsiaTheme="minorEastAsia"/>
          <w:color w:val="000000" w:themeColor="text1"/>
          <w:position w:val="-10"/>
          <w:sz w:val="28"/>
          <w:szCs w:val="28"/>
        </w:rPr>
        <w:object>
          <v:shape id="_x0000_i1068" o:spt="75" type="#_x0000_t75" style="height:16.85pt;width:42.1pt;" o:ole="t" filled="f" o:preferrelative="t" stroked="f" coordsize="21600,21600">
            <v:path/>
            <v:fill on="f" focussize="0,0"/>
            <v:stroke on="f" joinstyle="miter"/>
            <v:imagedata r:id="rId116" o:title=""/>
            <o:lock v:ext="edit" aspectratio="t"/>
            <w10:wrap type="none"/>
            <w10:anchorlock/>
          </v:shape>
          <o:OLEObject Type="Embed" ProgID="Equation.3" ShapeID="_x0000_i1068" DrawAspect="Content" ObjectID="_1468075768" r:id="rId115">
            <o:LockedField>false</o:LockedField>
          </o:OLEObject>
        </w:object>
      </w:r>
      <w:r>
        <w:rPr>
          <w:rFonts w:hint="eastAsia" w:asciiTheme="minorEastAsia" w:hAnsiTheme="minorEastAsia" w:eastAsiaTheme="minorEastAsia"/>
          <w:color w:val="000000" w:themeColor="text1"/>
          <w:sz w:val="28"/>
          <w:szCs w:val="28"/>
        </w:rPr>
        <w:t>模型的精度检验</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为了保证该模型的精度与可信度，需要对该模型进行精度检验。常用的模型检验方法有残差检验，关联度检验，后验差检验等。当这三种检验都能通过时，才能用所建模型进行预测；否则，应进行残差修正。</w:t>
      </w:r>
    </w:p>
    <w:p>
      <w:pPr>
        <w:widowControl/>
        <w:numPr>
          <w:ilvl w:val="0"/>
          <w:numId w:val="4"/>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残差检验</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计算相对残差：</w:t>
      </w:r>
      <w:r>
        <w:rPr>
          <w:rFonts w:hint="eastAsia" w:asciiTheme="minorEastAsia" w:hAnsiTheme="minorEastAsia" w:eastAsiaTheme="minorEastAsia"/>
          <w:color w:val="000000" w:themeColor="text1"/>
          <w:position w:val="-28"/>
          <w:sz w:val="28"/>
          <w:szCs w:val="28"/>
        </w:rPr>
        <w:object>
          <v:shape id="_x0000_i1069" o:spt="75" type="#_x0000_t75" style="height:35.55pt;width:66.4pt;" o:ole="t" filled="f" o:preferrelative="t" stroked="f" coordsize="21600,21600">
            <v:path/>
            <v:fill on="f" focussize="0,0"/>
            <v:stroke on="f" joinstyle="miter"/>
            <v:imagedata r:id="rId118" o:title=""/>
            <o:lock v:ext="edit" aspectratio="t"/>
            <w10:wrap type="none"/>
            <w10:anchorlock/>
          </v:shape>
          <o:OLEObject Type="Embed" ProgID="Equation.3" ShapeID="_x0000_i1069" DrawAspect="Content" ObjectID="_1468075769" r:id="rId117">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（1-1</w:t>
      </w:r>
      <w:r>
        <w:rPr>
          <w:rFonts w:asciiTheme="minorEastAsia" w:hAnsiTheme="minorEastAsia" w:eastAsiaTheme="minorEastAsia"/>
          <w:color w:val="000000" w:themeColor="text1"/>
          <w:sz w:val="28"/>
          <w:szCs w:val="28"/>
        </w:rPr>
        <w:t>4</w:t>
      </w:r>
      <w:r>
        <w:rPr>
          <w:rFonts w:hint="eastAsia" w:asciiTheme="minorEastAsia" w:hAnsiTheme="minorEastAsia" w:eastAsiaTheme="minorEastAsia"/>
          <w:color w:val="000000" w:themeColor="text1"/>
          <w:sz w:val="28"/>
          <w:szCs w:val="28"/>
        </w:rPr>
        <w:t xml:space="preserve">） </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其中</w:t>
      </w:r>
      <w:r>
        <w:rPr>
          <w:rFonts w:hint="eastAsia" w:asciiTheme="minorEastAsia" w:hAnsiTheme="minorEastAsia" w:eastAsiaTheme="minorEastAsia"/>
          <w:color w:val="000000" w:themeColor="text1"/>
          <w:position w:val="-10"/>
          <w:sz w:val="28"/>
          <w:szCs w:val="28"/>
        </w:rPr>
        <w:object>
          <v:shape id="_x0000_i1070" o:spt="75" type="#_x0000_t75" style="height:17.75pt;width:33.65pt;" o:ole="t" filled="f" o:preferrelative="t" stroked="f" coordsize="21600,21600">
            <v:path/>
            <v:fill on="f" focussize="0,0"/>
            <v:stroke on="f" joinstyle="miter"/>
            <v:imagedata r:id="rId120" o:title=""/>
            <o:lock v:ext="edit" aspectratio="t"/>
            <w10:wrap type="none"/>
            <w10:anchorlock/>
          </v:shape>
          <o:OLEObject Type="Embed" ProgID="Equation.3" ShapeID="_x0000_i1070" DrawAspect="Content" ObjectID="_1468075770" r:id="rId119">
            <o:LockedField>false</o:LockedField>
          </o:OLEObject>
        </w:object>
      </w:r>
      <w:r>
        <w:rPr>
          <w:rFonts w:hint="eastAsia" w:asciiTheme="minorEastAsia" w:hAnsiTheme="minorEastAsia" w:eastAsiaTheme="minorEastAsia"/>
          <w:color w:val="000000" w:themeColor="text1"/>
          <w:sz w:val="28"/>
          <w:szCs w:val="28"/>
        </w:rPr>
        <w:t>为残差且</w:t>
      </w:r>
      <w:r>
        <w:rPr>
          <w:rFonts w:hint="eastAsia" w:asciiTheme="minorEastAsia" w:hAnsiTheme="minorEastAsia" w:eastAsiaTheme="minorEastAsia"/>
          <w:color w:val="000000" w:themeColor="text1"/>
          <w:position w:val="-16"/>
          <w:sz w:val="28"/>
          <w:szCs w:val="28"/>
        </w:rPr>
        <w:object>
          <v:shape id="_x0000_i1071" o:spt="75" type="#_x0000_t75" style="height:21.5pt;width:180.45pt;" o:ole="t" filled="f" o:preferrelative="t" stroked="f" coordsize="21600,21600">
            <v:path/>
            <v:fill on="f" focussize="0,0"/>
            <v:stroke on="f" joinstyle="miter"/>
            <v:imagedata r:id="rId122" o:title=""/>
            <o:lock v:ext="edit" aspectratio="t"/>
            <w10:wrap type="none"/>
            <w10:anchorlock/>
          </v:shape>
          <o:OLEObject Type="Embed" ProgID="Equation.3" ShapeID="_x0000_i1071" DrawAspect="Content" ObjectID="_1468075771" r:id="rId121">
            <o:LockedField>false</o:LockedField>
          </o:OLEObject>
        </w:objec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15</w:t>
      </w:r>
      <w:r>
        <w:rPr>
          <w:rFonts w:hint="eastAsia" w:asciiTheme="minorEastAsia" w:hAnsiTheme="minorEastAsia" w:eastAsiaTheme="minorEastAsia"/>
          <w:color w:val="000000" w:themeColor="text1"/>
          <w:sz w:val="28"/>
          <w:szCs w:val="28"/>
        </w:rPr>
        <w:t>）</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若全部的 </w:t>
      </w:r>
      <w:r>
        <w:rPr>
          <w:rFonts w:hint="eastAsia" w:asciiTheme="minorEastAsia" w:hAnsiTheme="minorEastAsia" w:eastAsiaTheme="minorEastAsia"/>
          <w:color w:val="000000" w:themeColor="text1"/>
          <w:position w:val="-10"/>
          <w:sz w:val="28"/>
          <w:szCs w:val="28"/>
        </w:rPr>
        <w:object>
          <v:shape id="_x0000_i1072" o:spt="75" type="#_x0000_t75" style="height:16.85pt;width:51.45pt;" o:ole="t" filled="f" o:preferrelative="t" stroked="f" coordsize="21600,21600">
            <v:path/>
            <v:fill on="f" focussize="0,0"/>
            <v:stroke on="f" joinstyle="miter"/>
            <v:imagedata r:id="rId124" o:title=""/>
            <o:lock v:ext="edit" aspectratio="t"/>
            <w10:wrap type="none"/>
            <w10:anchorlock/>
          </v:shape>
          <o:OLEObject Type="Embed" ProgID="Equation.3" ShapeID="_x0000_i1072" DrawAspect="Content" ObjectID="_1468075772" r:id="rId123">
            <o:LockedField>false</o:LockedField>
          </o:OLEObject>
        </w:object>
      </w:r>
      <w:r>
        <w:rPr>
          <w:rFonts w:hint="eastAsia" w:asciiTheme="minorEastAsia" w:hAnsiTheme="minorEastAsia" w:eastAsiaTheme="minorEastAsia"/>
          <w:color w:val="000000" w:themeColor="text1"/>
          <w:sz w:val="28"/>
          <w:szCs w:val="28"/>
        </w:rPr>
        <w:t>认为达到了较高的要求；若所有的</w:t>
      </w:r>
      <w:r>
        <w:rPr>
          <w:rFonts w:hint="eastAsia" w:asciiTheme="minorEastAsia" w:hAnsiTheme="minorEastAsia" w:eastAsiaTheme="minorEastAsia"/>
          <w:color w:val="000000" w:themeColor="text1"/>
          <w:position w:val="-10"/>
          <w:sz w:val="28"/>
          <w:szCs w:val="28"/>
        </w:rPr>
        <w:object>
          <v:shape id="_x0000_i1073" o:spt="75" type="#_x0000_t75" style="height:16.85pt;width:51.45pt;" o:ole="t" filled="f" o:preferrelative="t" stroked="f" coordsize="21600,21600">
            <v:path/>
            <v:fill on="f" focussize="0,0"/>
            <v:stroke on="f" joinstyle="miter"/>
            <v:imagedata r:id="rId126" o:title=""/>
            <o:lock v:ext="edit" aspectratio="t"/>
            <w10:wrap type="none"/>
            <w10:anchorlock/>
          </v:shape>
          <o:OLEObject Type="Embed" ProgID="Equation.3" ShapeID="_x0000_i1073" DrawAspect="Content" ObjectID="_1468075773" r:id="rId125">
            <o:LockedField>false</o:LockedField>
          </o:OLEObject>
        </w:object>
      </w:r>
      <w:r>
        <w:rPr>
          <w:rFonts w:hint="eastAsia" w:asciiTheme="minorEastAsia" w:hAnsiTheme="minorEastAsia" w:eastAsiaTheme="minorEastAsia"/>
          <w:color w:val="000000" w:themeColor="text1"/>
          <w:sz w:val="28"/>
          <w:szCs w:val="28"/>
        </w:rPr>
        <w:t>则认为达到了一般要求。</w:t>
      </w:r>
    </w:p>
    <w:p>
      <w:pPr>
        <w:widowControl/>
        <w:numPr>
          <w:ilvl w:val="0"/>
          <w:numId w:val="4"/>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关联度检验</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关联度分析是分析系统中各因素关联程度的方法，在计算关联度之前，需要先计算关联系数。</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①</w:t>
      </w:r>
      <w:r>
        <w:rPr>
          <w:rFonts w:hint="eastAsia" w:asciiTheme="minorEastAsia" w:hAnsiTheme="minorEastAsia" w:eastAsiaTheme="minorEastAsia"/>
          <w:color w:val="000000" w:themeColor="text1"/>
          <w:sz w:val="28"/>
          <w:szCs w:val="28"/>
        </w:rPr>
        <w:t>关联系数</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0"/>
          <w:sz w:val="28"/>
          <w:szCs w:val="28"/>
        </w:rPr>
        <w:object>
          <v:shape id="_x0000_i1074" o:spt="75" type="#_x0000_t75" style="height:16.85pt;width:72pt;" o:ole="t" filled="f" o:preferrelative="t" stroked="f" coordsize="21600,21600">
            <v:path/>
            <v:fill on="f" focussize="0,0"/>
            <v:stroke on="f" joinstyle="miter"/>
            <v:imagedata r:id="rId89" o:title=""/>
            <o:lock v:ext="edit" aspectratio="t"/>
            <w10:wrap type="none"/>
            <w10:anchorlock/>
          </v:shape>
          <o:OLEObject Type="Embed" ProgID="Equation.3" ShapeID="_x0000_i1074" DrawAspect="Content" ObjectID="_1468075774" r:id="rId127">
            <o:LockedField>false</o:LockedField>
          </o:OLEObject>
        </w:object>
      </w:r>
      <w:r>
        <w:rPr>
          <w:rFonts w:hint="eastAsia" w:asciiTheme="minorEastAsia" w:hAnsiTheme="minorEastAsia" w:eastAsiaTheme="minorEastAsia"/>
          <w:color w:val="000000" w:themeColor="text1"/>
          <w:sz w:val="28"/>
          <w:szCs w:val="28"/>
        </w:rPr>
        <w:t>设</w:t>
      </w:r>
      <w:r>
        <w:rPr>
          <w:rFonts w:hint="eastAsia" w:asciiTheme="minorEastAsia" w:hAnsiTheme="minorEastAsia" w:eastAsiaTheme="minorEastAsia"/>
          <w:color w:val="000000" w:themeColor="text1"/>
          <w:position w:val="-32"/>
          <w:sz w:val="28"/>
          <w:szCs w:val="28"/>
        </w:rPr>
        <w:object>
          <v:shape id="_x0000_i1075" o:spt="75" type="#_x0000_t75" style="height:38.35pt;width:179.55pt;" o:ole="t" filled="f" o:preferrelative="t" stroked="f" coordsize="21600,21600">
            <v:path/>
            <v:fill on="f" focussize="0,0"/>
            <v:stroke on="f" joinstyle="miter"/>
            <v:imagedata r:id="rId129" o:title=""/>
            <o:lock v:ext="edit" aspectratio="t"/>
            <w10:wrap type="none"/>
            <w10:anchorlock/>
          </v:shape>
          <o:OLEObject Type="Embed" ProgID="Equation.3" ShapeID="_x0000_i1075" DrawAspect="Content" ObjectID="_1468075775" r:id="rId128">
            <o:LockedField>false</o:LockedField>
          </o:OLEObject>
        </w:objec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关联系数定义为：</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position w:val="-40"/>
          <w:sz w:val="28"/>
          <w:szCs w:val="28"/>
        </w:rPr>
        <w:object>
          <v:shape id="_x0000_i1076" o:spt="75" type="#_x0000_t75" style="height:45.8pt;width:305.75pt;" o:ole="t" filled="f" o:preferrelative="t" stroked="f" coordsize="21600,21600">
            <v:path/>
            <v:fill on="f" focussize="0,0"/>
            <v:stroke on="f" joinstyle="miter"/>
            <v:imagedata r:id="rId131" o:title=""/>
            <o:lock v:ext="edit" aspectratio="t"/>
            <w10:wrap type="none"/>
            <w10:anchorlock/>
          </v:shape>
          <o:OLEObject Type="Embed" ProgID="Equation.3" ShapeID="_x0000_i1076" DrawAspect="Content" ObjectID="_1468075776" r:id="rId130">
            <o:LockedField>false</o:LockedField>
          </o:OLEObject>
        </w:objec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（1-16）</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式中：</w:t>
      </w:r>
    </w:p>
    <w:p>
      <w:pPr>
        <w:widowControl/>
        <w:numPr>
          <w:ilvl w:val="0"/>
          <w:numId w:val="8"/>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8"/>
          <w:sz w:val="28"/>
          <w:szCs w:val="28"/>
        </w:rPr>
        <w:object>
          <v:shape id="_x0000_i1077" o:spt="75" type="#_x0000_t75" style="height:24.3pt;width:86.05pt;" o:ole="t" filled="f" o:preferrelative="t" stroked="f" coordsize="21600,21600">
            <v:path/>
            <v:fill on="f" focussize="0,0"/>
            <v:stroke on="f" joinstyle="miter"/>
            <v:imagedata r:id="rId133" o:title=""/>
            <o:lock v:ext="edit" aspectratio="t"/>
            <w10:wrap type="none"/>
            <w10:anchorlock/>
          </v:shape>
          <o:OLEObject Type="Embed" ProgID="Equation.3" ShapeID="_x0000_i1077" DrawAspect="Content" ObjectID="_1468075777" r:id="rId132">
            <o:LockedField>false</o:LockedField>
          </o:OLEObject>
        </w:object>
      </w:r>
      <w:r>
        <w:rPr>
          <w:rFonts w:hint="eastAsia" w:asciiTheme="minorEastAsia" w:hAnsiTheme="minorEastAsia" w:eastAsiaTheme="minorEastAsia"/>
          <w:color w:val="000000" w:themeColor="text1"/>
          <w:sz w:val="28"/>
          <w:szCs w:val="28"/>
        </w:rPr>
        <w:t>第k个点</w:t>
      </w:r>
      <w:r>
        <w:rPr>
          <w:rFonts w:hint="eastAsia" w:asciiTheme="minorEastAsia" w:hAnsiTheme="minorEastAsia" w:eastAsiaTheme="minorEastAsia"/>
          <w:color w:val="000000" w:themeColor="text1"/>
          <w:position w:val="-4"/>
          <w:sz w:val="28"/>
          <w:szCs w:val="28"/>
        </w:rPr>
        <w:object>
          <v:shape id="_x0000_i1078" o:spt="75" type="#_x0000_t75" style="height:14.95pt;width:23.4pt;" o:ole="t" filled="f" o:preferrelative="t" stroked="f" coordsize="21600,21600">
            <v:path/>
            <v:fill on="f" focussize="0,0"/>
            <v:stroke on="f" joinstyle="miter"/>
            <v:imagedata r:id="rId135" o:title=""/>
            <o:lock v:ext="edit" aspectratio="t"/>
            <w10:wrap type="none"/>
            <w10:anchorlock/>
          </v:shape>
          <o:OLEObject Type="Embed" ProgID="Equation.3" ShapeID="_x0000_i1078" DrawAspect="Content" ObjectID="_1468075778" r:id="rId134">
            <o:LockedField>false</o:LockedField>
          </o:OLEObject>
        </w:object>
      </w:r>
      <w:r>
        <w:rPr>
          <w:rFonts w:hint="eastAsia" w:asciiTheme="minorEastAsia" w:hAnsiTheme="minorEastAsia" w:eastAsiaTheme="minorEastAsia"/>
          <w:color w:val="000000" w:themeColor="text1"/>
          <w:sz w:val="28"/>
          <w:szCs w:val="28"/>
        </w:rPr>
        <w:t>与</w:t>
      </w:r>
      <w:r>
        <w:rPr>
          <w:rFonts w:hint="eastAsia" w:asciiTheme="minorEastAsia" w:hAnsiTheme="minorEastAsia" w:eastAsiaTheme="minorEastAsia"/>
          <w:color w:val="000000" w:themeColor="text1"/>
          <w:position w:val="-4"/>
          <w:sz w:val="28"/>
          <w:szCs w:val="28"/>
        </w:rPr>
        <w:object>
          <v:shape id="_x0000_i1079" o:spt="75" type="#_x0000_t75" style="height:15.9pt;width:23.4pt;" o:ole="t" filled="f" o:preferrelative="t" stroked="f" coordsize="21600,21600">
            <v:path/>
            <v:fill on="f" focussize="0,0"/>
            <v:stroke on="f" joinstyle="miter"/>
            <v:imagedata r:id="rId137" o:title=""/>
            <o:lock v:ext="edit" aspectratio="t"/>
            <w10:wrap type="none"/>
            <w10:anchorlock/>
          </v:shape>
          <o:OLEObject Type="Embed" ProgID="Equation.3" ShapeID="_x0000_i1079" DrawAspect="Content" ObjectID="_1468075779" r:id="rId136">
            <o:LockedField>false</o:LockedField>
          </o:OLEObject>
        </w:object>
      </w:r>
      <w:r>
        <w:rPr>
          <w:rFonts w:hint="eastAsia" w:asciiTheme="minorEastAsia" w:hAnsiTheme="minorEastAsia" w:eastAsiaTheme="minorEastAsia"/>
          <w:color w:val="000000" w:themeColor="text1"/>
          <w:sz w:val="28"/>
          <w:szCs w:val="28"/>
        </w:rPr>
        <w:t>的绝对误差。</w:t>
      </w:r>
    </w:p>
    <w:p>
      <w:pPr>
        <w:widowControl/>
        <w:numPr>
          <w:ilvl w:val="0"/>
          <w:numId w:val="8"/>
        </w:num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8"/>
          <w:sz w:val="28"/>
          <w:szCs w:val="28"/>
        </w:rPr>
        <w:object>
          <v:shape id="_x0000_i1080" o:spt="75" type="#_x0000_t75" style="height:24.3pt;width:125.3pt;" o:ole="t" filled="f" o:preferrelative="t" stroked="f" coordsize="21600,21600">
            <v:path/>
            <v:fill on="f" focussize="0,0"/>
            <v:stroke on="f" joinstyle="miter"/>
            <v:imagedata r:id="rId139" o:title=""/>
            <o:lock v:ext="edit" aspectratio="t"/>
            <w10:wrap type="none"/>
            <w10:anchorlock/>
          </v:shape>
          <o:OLEObject Type="Embed" ProgID="Equation.3" ShapeID="_x0000_i1080" DrawAspect="Content" ObjectID="_1468075780" r:id="rId138">
            <o:LockedField>false</o:LockedField>
          </o:OLEObject>
        </w:object>
      </w:r>
      <w:r>
        <w:rPr>
          <w:rFonts w:hint="eastAsia" w:asciiTheme="minorEastAsia" w:hAnsiTheme="minorEastAsia" w:eastAsiaTheme="minorEastAsia"/>
          <w:color w:val="000000" w:themeColor="text1"/>
          <w:sz w:val="28"/>
          <w:szCs w:val="28"/>
        </w:rPr>
        <w:t>是两级最小差。其中，</w:t>
      </w:r>
      <w:r>
        <w:rPr>
          <w:rFonts w:hint="eastAsia" w:asciiTheme="minorEastAsia" w:hAnsiTheme="minorEastAsia" w:eastAsiaTheme="minorEastAsia"/>
          <w:color w:val="000000" w:themeColor="text1"/>
          <w:position w:val="-18"/>
          <w:sz w:val="28"/>
          <w:szCs w:val="28"/>
        </w:rPr>
        <w:object>
          <v:shape id="_x0000_i1081" o:spt="75" type="#_x0000_t75" style="height:24.3pt;width:104.75pt;" o:ole="t" filled="f" o:preferrelative="t" stroked="f" coordsize="21600,21600">
            <v:path/>
            <v:fill on="f" focussize="0,0"/>
            <v:stroke on="f" joinstyle="miter"/>
            <v:imagedata r:id="rId141" o:title=""/>
            <o:lock v:ext="edit" aspectratio="t"/>
            <w10:wrap type="none"/>
            <w10:anchorlock/>
          </v:shape>
          <o:OLEObject Type="Embed" ProgID="Equation.3" ShapeID="_x0000_i1081" DrawAspect="Content" ObjectID="_1468075781" r:id="rId140">
            <o:LockedField>false</o:LockedField>
          </o:OLEObject>
        </w:object>
      </w:r>
      <w:r>
        <w:rPr>
          <w:rFonts w:hint="eastAsia" w:asciiTheme="minorEastAsia" w:hAnsiTheme="minorEastAsia" w:eastAsiaTheme="minorEastAsia"/>
          <w:color w:val="000000" w:themeColor="text1"/>
          <w:sz w:val="28"/>
          <w:szCs w:val="28"/>
        </w:rPr>
        <w:t>是第一级最小差，表示在</w:t>
      </w:r>
      <w:r>
        <w:rPr>
          <w:rFonts w:hint="eastAsia" w:asciiTheme="minorEastAsia" w:hAnsiTheme="minorEastAsia" w:eastAsiaTheme="minorEastAsia"/>
          <w:color w:val="000000" w:themeColor="text1"/>
          <w:position w:val="-10"/>
          <w:sz w:val="28"/>
          <w:szCs w:val="28"/>
        </w:rPr>
        <w:object>
          <v:shape id="_x0000_i1082" o:spt="75" type="#_x0000_t75" style="height:18.7pt;width:38.35pt;" o:ole="t" filled="f" o:preferrelative="t" stroked="f" coordsize="21600,21600">
            <v:path/>
            <v:fill on="f" focussize="0,0"/>
            <v:stroke on="f" joinstyle="miter"/>
            <v:imagedata r:id="rId143" o:title=""/>
            <o:lock v:ext="edit" aspectratio="t"/>
            <w10:wrap type="none"/>
            <w10:anchorlock/>
          </v:shape>
          <o:OLEObject Type="Embed" ProgID="Equation.3" ShapeID="_x0000_i1082" DrawAspect="Content" ObjectID="_1468075782" r:id="rId142">
            <o:LockedField>false</o:LockedField>
          </o:OLEObject>
        </w:object>
      </w:r>
      <w:r>
        <w:rPr>
          <w:rFonts w:hint="eastAsia" w:asciiTheme="minorEastAsia" w:hAnsiTheme="minorEastAsia" w:eastAsiaTheme="minorEastAsia"/>
          <w:color w:val="000000" w:themeColor="text1"/>
          <w:sz w:val="28"/>
          <w:szCs w:val="28"/>
        </w:rPr>
        <w:t>序列上找各点与</w:t>
      </w:r>
      <w:r>
        <w:rPr>
          <w:rFonts w:hint="eastAsia" w:asciiTheme="minorEastAsia" w:hAnsiTheme="minorEastAsia" w:eastAsiaTheme="minorEastAsia"/>
          <w:color w:val="000000" w:themeColor="text1"/>
          <w:position w:val="-10"/>
          <w:sz w:val="28"/>
          <w:szCs w:val="28"/>
        </w:rPr>
        <w:object>
          <v:shape id="_x0000_i1083" o:spt="75" type="#_x0000_t75" style="height:17.75pt;width:38.35pt;" o:ole="t" filled="f" o:preferrelative="t" stroked="f" coordsize="21600,21600">
            <v:path/>
            <v:fill on="f" focussize="0,0"/>
            <v:stroke on="f" joinstyle="miter"/>
            <v:imagedata r:id="rId145" o:title=""/>
            <o:lock v:ext="edit" aspectratio="t"/>
            <w10:wrap type="none"/>
            <w10:anchorlock/>
          </v:shape>
          <o:OLEObject Type="Embed" ProgID="Equation.3" ShapeID="_x0000_i1083" DrawAspect="Content" ObjectID="_1468075783" r:id="rId144">
            <o:LockedField>false</o:LockedField>
          </o:OLEObject>
        </w:object>
      </w:r>
      <w:r>
        <w:rPr>
          <w:rFonts w:hint="eastAsia" w:asciiTheme="minorEastAsia" w:hAnsiTheme="minorEastAsia" w:eastAsiaTheme="minorEastAsia"/>
          <w:color w:val="000000" w:themeColor="text1"/>
          <w:sz w:val="28"/>
          <w:szCs w:val="28"/>
        </w:rPr>
        <w:t>的最小差；</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8"/>
          <w:sz w:val="28"/>
          <w:szCs w:val="28"/>
        </w:rPr>
        <w:object>
          <v:shape id="_x0000_i1084" o:spt="75" type="#_x0000_t75" style="height:24.3pt;width:125.3pt;" o:ole="t" filled="f" o:preferrelative="t" stroked="f" coordsize="21600,21600">
            <v:path/>
            <v:fill on="f" focussize="0,0"/>
            <v:stroke on="f" joinstyle="miter"/>
            <v:imagedata r:id="rId147" o:title=""/>
            <o:lock v:ext="edit" aspectratio="t"/>
            <w10:wrap type="none"/>
            <w10:anchorlock/>
          </v:shape>
          <o:OLEObject Type="Embed" ProgID="Equation.3" ShapeID="_x0000_i1084" DrawAspect="Content" ObjectID="_1468075784" r:id="rId146">
            <o:LockedField>false</o:LockedField>
          </o:OLEObject>
        </w:object>
      </w:r>
      <w:r>
        <w:rPr>
          <w:rFonts w:hint="eastAsia" w:asciiTheme="minorEastAsia" w:hAnsiTheme="minorEastAsia" w:eastAsiaTheme="minorEastAsia"/>
          <w:color w:val="000000" w:themeColor="text1"/>
          <w:sz w:val="28"/>
          <w:szCs w:val="28"/>
        </w:rPr>
        <w:t>是第二级最小差，表示在各序列找出最小差的基础上寻找所有序列中的最小值。</w:t>
      </w:r>
    </w:p>
    <w:p>
      <w:pPr>
        <w:widowControl/>
        <w:numPr>
          <w:ilvl w:val="0"/>
          <w:numId w:val="8"/>
        </w:numPr>
        <w:tabs>
          <w:tab w:val="clear" w:pos="312"/>
        </w:tabs>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8"/>
          <w:sz w:val="28"/>
          <w:szCs w:val="28"/>
        </w:rPr>
        <w:object>
          <v:shape id="_x0000_i1085" o:spt="75" type="#_x0000_t75" style="height:24.3pt;width:129.05pt;" o:ole="t" filled="f" o:preferrelative="t" stroked="f" coordsize="21600,21600">
            <v:path/>
            <v:fill on="f" focussize="0,0"/>
            <v:stroke on="f" joinstyle="miter"/>
            <v:imagedata r:id="rId149" o:title=""/>
            <o:lock v:ext="edit" aspectratio="t"/>
            <w10:wrap type="none"/>
            <w10:anchorlock/>
          </v:shape>
          <o:OLEObject Type="Embed" ProgID="Equation.3" ShapeID="_x0000_i1085" DrawAspect="Content" ObjectID="_1468075785" r:id="rId148">
            <o:LockedField>false</o:LockedField>
          </o:OLEObject>
        </w:object>
      </w:r>
      <w:r>
        <w:rPr>
          <w:rFonts w:hint="eastAsia" w:asciiTheme="minorEastAsia" w:hAnsiTheme="minorEastAsia" w:eastAsiaTheme="minorEastAsia"/>
          <w:color w:val="000000" w:themeColor="text1"/>
          <w:sz w:val="28"/>
          <w:szCs w:val="28"/>
        </w:rPr>
        <w:t>是第二级最大差，其含义与最小值相似。</w:t>
      </w:r>
    </w:p>
    <w:p>
      <w:pPr>
        <w:widowControl/>
        <w:numPr>
          <w:ilvl w:val="0"/>
          <w:numId w:val="8"/>
        </w:numPr>
        <w:tabs>
          <w:tab w:val="clear" w:pos="312"/>
        </w:tabs>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0"/>
          <w:sz w:val="28"/>
          <w:szCs w:val="28"/>
        </w:rPr>
        <w:object>
          <v:shape id="_x0000_i1086" o:spt="75" type="#_x0000_t75" style="height:13.1pt;width:12.15pt;" o:ole="t" filled="f" o:preferrelative="t" stroked="f" coordsize="21600,21600">
            <v:path/>
            <v:fill on="f" focussize="0,0"/>
            <v:stroke on="f" joinstyle="miter"/>
            <v:imagedata r:id="rId151" o:title=""/>
            <o:lock v:ext="edit" aspectratio="t"/>
            <w10:wrap type="none"/>
            <w10:anchorlock/>
          </v:shape>
          <o:OLEObject Type="Embed" ProgID="Equation.3" ShapeID="_x0000_i1086" DrawAspect="Content" ObjectID="_1468075786" r:id="rId150">
            <o:LockedField>false</o:LockedField>
          </o:OLEObject>
        </w:object>
      </w:r>
      <w:r>
        <w:rPr>
          <w:rFonts w:hint="eastAsia" w:asciiTheme="minorEastAsia" w:hAnsiTheme="minorEastAsia" w:eastAsiaTheme="minorEastAsia"/>
          <w:color w:val="000000" w:themeColor="text1"/>
          <w:sz w:val="28"/>
          <w:szCs w:val="28"/>
        </w:rPr>
        <w:t>称为分辨率，</w:t>
      </w:r>
      <w:r>
        <w:rPr>
          <w:rFonts w:hint="eastAsia" w:asciiTheme="minorEastAsia" w:hAnsiTheme="minorEastAsia" w:eastAsiaTheme="minorEastAsia"/>
          <w:color w:val="000000" w:themeColor="text1"/>
          <w:position w:val="-10"/>
          <w:sz w:val="28"/>
          <w:szCs w:val="28"/>
        </w:rPr>
        <w:object>
          <v:shape id="_x0000_i1087" o:spt="75" type="#_x0000_t75" style="height:15.9pt;width:44.9pt;" o:ole="t" filled="f" o:preferrelative="t" stroked="f" coordsize="21600,21600">
            <v:path/>
            <v:fill on="f" focussize="0,0"/>
            <v:stroke on="f" joinstyle="miter"/>
            <v:imagedata r:id="rId153" o:title=""/>
            <o:lock v:ext="edit" aspectratio="t"/>
            <w10:wrap type="none"/>
            <w10:anchorlock/>
          </v:shape>
          <o:OLEObject Type="Embed" ProgID="Equation.3" ShapeID="_x0000_i1087" DrawAspect="Content" ObjectID="_1468075787" r:id="rId152">
            <o:LockedField>false</o:LockedField>
          </o:OLEObject>
        </w:object>
      </w:r>
      <w:r>
        <w:rPr>
          <w:rFonts w:hint="eastAsia" w:asciiTheme="minorEastAsia" w:hAnsiTheme="minorEastAsia" w:eastAsiaTheme="minorEastAsia"/>
          <w:color w:val="000000" w:themeColor="text1"/>
          <w:sz w:val="28"/>
          <w:szCs w:val="28"/>
        </w:rPr>
        <w:t>，一般取</w:t>
      </w:r>
      <w:r>
        <w:rPr>
          <w:rFonts w:hint="eastAsia" w:asciiTheme="minorEastAsia" w:hAnsiTheme="minorEastAsia" w:eastAsiaTheme="minorEastAsia"/>
          <w:color w:val="000000" w:themeColor="text1"/>
          <w:position w:val="-10"/>
          <w:sz w:val="28"/>
          <w:szCs w:val="28"/>
        </w:rPr>
        <w:object>
          <v:shape id="_x0000_i1088" o:spt="75" type="#_x0000_t75" style="height:13.1pt;width:12.15pt;" o:ole="t" filled="f" o:preferrelative="t" stroked="f" coordsize="21600,21600">
            <v:path/>
            <v:fill on="f" focussize="0,0"/>
            <v:stroke on="f" joinstyle="miter"/>
            <v:imagedata r:id="rId155" o:title=""/>
            <o:lock v:ext="edit" aspectratio="t"/>
            <w10:wrap type="none"/>
            <w10:anchorlock/>
          </v:shape>
          <o:OLEObject Type="Embed" ProgID="Equation.3" ShapeID="_x0000_i1088" DrawAspect="Content" ObjectID="_1468075788" r:id="rId154">
            <o:LockedField>false</o:LockedField>
          </o:OLEObject>
        </w:object>
      </w:r>
      <w:r>
        <w:rPr>
          <w:rFonts w:hint="eastAsia" w:asciiTheme="minorEastAsia" w:hAnsiTheme="minorEastAsia" w:eastAsiaTheme="minorEastAsia"/>
          <w:color w:val="000000" w:themeColor="text1"/>
          <w:sz w:val="28"/>
          <w:szCs w:val="28"/>
        </w:rPr>
        <w:t>=0.5</w:t>
      </w:r>
    </w:p>
    <w:p>
      <w:pPr>
        <w:widowControl/>
        <w:numPr>
          <w:ilvl w:val="0"/>
          <w:numId w:val="8"/>
        </w:numPr>
        <w:tabs>
          <w:tab w:val="clear" w:pos="312"/>
        </w:tabs>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对单位不一，初始不同的序列，在计算许</w:t>
      </w:r>
      <w:r>
        <w:rPr>
          <w:rFonts w:cs="Arial" w:asciiTheme="minorEastAsia" w:hAnsiTheme="minorEastAsia" w:eastAsiaTheme="minorEastAsia"/>
          <w:color w:val="000000" w:themeColor="text1"/>
          <w:sz w:val="28"/>
          <w:szCs w:val="28"/>
          <w:shd w:val="clear" w:color="auto" w:fill="FFFFFF"/>
        </w:rPr>
        <w:t>梿</w:t>
      </w:r>
      <w:r>
        <w:rPr>
          <w:rFonts w:hint="eastAsia" w:cs="Arial" w:asciiTheme="minorEastAsia" w:hAnsiTheme="minorEastAsia" w:eastAsiaTheme="minorEastAsia"/>
          <w:color w:val="000000" w:themeColor="text1"/>
          <w:sz w:val="28"/>
          <w:szCs w:val="28"/>
          <w:shd w:val="clear" w:color="auto" w:fill="FFFFFF"/>
        </w:rPr>
        <w:t>系数前应首先进行初始化，即将该系数的所有数据分别除以第一个数据。</w:t>
      </w:r>
    </w:p>
    <w:p>
      <w:pPr>
        <w:widowControl/>
        <w:spacing w:before="0" w:after="0" w:line="360" w:lineRule="auto"/>
        <w:ind w:left="0" w:firstLine="560" w:firstLineChars="200"/>
        <w:jc w:val="left"/>
        <w:rPr>
          <w:rFonts w:cs="Arial" w:asciiTheme="minorEastAsia" w:hAnsiTheme="minorEastAsia" w:eastAsiaTheme="minorEastAsia"/>
          <w:color w:val="000000" w:themeColor="text1"/>
          <w:sz w:val="28"/>
          <w:szCs w:val="28"/>
          <w:shd w:val="clear" w:color="auto" w:fill="FFFFFF"/>
        </w:rPr>
      </w:pPr>
      <w:r>
        <w:rPr>
          <w:rFonts w:cs="Calibri" w:asciiTheme="minorEastAsia" w:hAnsiTheme="minorEastAsia" w:eastAsiaTheme="minorEastAsia"/>
          <w:color w:val="000000" w:themeColor="text1"/>
          <w:sz w:val="28"/>
          <w:szCs w:val="28"/>
        </w:rPr>
        <w:t>②</w:t>
      </w:r>
      <w:r>
        <w:rPr>
          <w:rFonts w:hint="eastAsia" w:cs="Arial" w:asciiTheme="minorEastAsia" w:hAnsiTheme="minorEastAsia" w:eastAsiaTheme="minorEastAsia"/>
          <w:color w:val="000000" w:themeColor="text1"/>
          <w:sz w:val="28"/>
          <w:szCs w:val="28"/>
          <w:shd w:val="clear" w:color="auto" w:fill="FFFFFF"/>
        </w:rPr>
        <w:t>关联度</w:t>
      </w:r>
    </w:p>
    <w:p>
      <w:pPr>
        <w:widowControl/>
        <w:spacing w:before="0" w:after="0" w:line="360" w:lineRule="auto"/>
        <w:ind w:left="0" w:firstLine="560" w:firstLineChars="200"/>
        <w:jc w:val="left"/>
        <w:rPr>
          <w:rFonts w:cs="Arial" w:asciiTheme="minorEastAsia" w:hAnsiTheme="minorEastAsia" w:eastAsiaTheme="minorEastAsia"/>
          <w:color w:val="000000" w:themeColor="text1"/>
          <w:sz w:val="28"/>
          <w:szCs w:val="28"/>
          <w:shd w:val="clear" w:color="auto" w:fill="FFFFFF"/>
        </w:rPr>
      </w:pPr>
      <w:r>
        <w:rPr>
          <w:rFonts w:hint="eastAsia" w:cs="Arial" w:asciiTheme="minorEastAsia" w:hAnsiTheme="minorEastAsia" w:eastAsiaTheme="minorEastAsia"/>
          <w:color w:val="000000" w:themeColor="text1"/>
          <w:sz w:val="28"/>
          <w:szCs w:val="28"/>
          <w:shd w:val="clear" w:color="auto" w:fill="FFFFFF"/>
        </w:rPr>
        <w:t>在算出</w:t>
      </w:r>
      <w:r>
        <w:rPr>
          <w:rFonts w:hint="eastAsia" w:cs="Arial" w:asciiTheme="minorEastAsia" w:hAnsiTheme="minorEastAsia" w:eastAsiaTheme="minorEastAsia"/>
          <w:color w:val="000000" w:themeColor="text1"/>
          <w:position w:val="-10"/>
          <w:sz w:val="28"/>
          <w:szCs w:val="28"/>
          <w:shd w:val="clear" w:color="auto" w:fill="FFFFFF"/>
        </w:rPr>
        <w:object>
          <v:shape id="_x0000_i1089" o:spt="75" type="#_x0000_t75" style="height:18.7pt;width:38.35pt;" o:ole="t" filled="f" o:preferrelative="t" stroked="f" coordsize="21600,21600">
            <v:path/>
            <v:fill on="f" focussize="0,0"/>
            <v:stroke on="f" joinstyle="miter"/>
            <v:imagedata r:id="rId157" o:title=""/>
            <o:lock v:ext="edit" aspectratio="t"/>
            <w10:wrap type="none"/>
            <w10:anchorlock/>
          </v:shape>
          <o:OLEObject Type="Embed" ProgID="Equation.3" ShapeID="_x0000_i1089" DrawAspect="Content" ObjectID="_1468075789" r:id="rId156">
            <o:LockedField>false</o:LockedField>
          </o:OLEObject>
        </w:object>
      </w:r>
      <w:r>
        <w:rPr>
          <w:rFonts w:hint="eastAsia" w:cs="Arial" w:asciiTheme="minorEastAsia" w:hAnsiTheme="minorEastAsia" w:eastAsiaTheme="minorEastAsia"/>
          <w:color w:val="000000" w:themeColor="text1"/>
          <w:sz w:val="28"/>
          <w:szCs w:val="28"/>
          <w:shd w:val="clear" w:color="auto" w:fill="FFFFFF"/>
        </w:rPr>
        <w:t>序列与</w:t>
      </w:r>
      <w:r>
        <w:rPr>
          <w:rFonts w:hint="eastAsia" w:cs="Arial" w:asciiTheme="minorEastAsia" w:hAnsiTheme="minorEastAsia" w:eastAsiaTheme="minorEastAsia"/>
          <w:color w:val="000000" w:themeColor="text1"/>
          <w:position w:val="-10"/>
          <w:sz w:val="28"/>
          <w:szCs w:val="28"/>
          <w:shd w:val="clear" w:color="auto" w:fill="FFFFFF"/>
        </w:rPr>
        <w:object>
          <v:shape id="_x0000_i1090" o:spt="75" type="#_x0000_t75" style="height:17.75pt;width:38.35pt;" o:ole="t" filled="f" o:preferrelative="t" stroked="f" coordsize="21600,21600">
            <v:path/>
            <v:fill on="f" focussize="0,0"/>
            <v:stroke on="f" joinstyle="miter"/>
            <v:imagedata r:id="rId159" o:title=""/>
            <o:lock v:ext="edit" aspectratio="t"/>
            <w10:wrap type="none"/>
            <w10:anchorlock/>
          </v:shape>
          <o:OLEObject Type="Embed" ProgID="Equation.3" ShapeID="_x0000_i1090" DrawAspect="Content" ObjectID="_1468075790" r:id="rId158">
            <o:LockedField>false</o:LockedField>
          </o:OLEObject>
        </w:object>
      </w:r>
      <w:r>
        <w:rPr>
          <w:rFonts w:hint="eastAsia" w:cs="Arial" w:asciiTheme="minorEastAsia" w:hAnsiTheme="minorEastAsia" w:eastAsiaTheme="minorEastAsia"/>
          <w:color w:val="000000" w:themeColor="text1"/>
          <w:sz w:val="28"/>
          <w:szCs w:val="28"/>
          <w:shd w:val="clear" w:color="auto" w:fill="FFFFFF"/>
        </w:rPr>
        <w:t>序列的关联系数后，计算各类关联系数的平均值：</w:t>
      </w:r>
      <w:r>
        <w:rPr>
          <w:rFonts w:hint="eastAsia" w:cs="Arial" w:asciiTheme="minorEastAsia" w:hAnsiTheme="minorEastAsia" w:eastAsiaTheme="minorEastAsia"/>
          <w:color w:val="000000" w:themeColor="text1"/>
          <w:position w:val="-28"/>
          <w:sz w:val="28"/>
          <w:szCs w:val="28"/>
          <w:shd w:val="clear" w:color="auto" w:fill="FFFFFF"/>
        </w:rPr>
        <w:object>
          <v:shape id="_x0000_i1091" o:spt="75" type="#_x0000_t75" style="height:33.65pt;width:66.4pt;" o:ole="t" filled="f" o:preferrelative="t" stroked="f" coordsize="21600,21600">
            <v:path/>
            <v:fill on="f" focussize="0,0"/>
            <v:stroke on="f" joinstyle="miter"/>
            <v:imagedata r:id="rId161" o:title=""/>
            <o:lock v:ext="edit" aspectratio="t"/>
            <w10:wrap type="none"/>
            <w10:anchorlock/>
          </v:shape>
          <o:OLEObject Type="Embed" ProgID="Equation.3" ShapeID="_x0000_i1091" DrawAspect="Content" ObjectID="_1468075791" r:id="rId160">
            <o:LockedField>false</o:LockedField>
          </o:OLEObject>
        </w:object>
      </w:r>
      <w:r>
        <w:rPr>
          <w:rFonts w:hint="eastAsia" w:cs="Arial" w:asciiTheme="minorEastAsia" w:hAnsiTheme="minorEastAsia" w:eastAsiaTheme="minorEastAsia"/>
          <w:color w:val="000000" w:themeColor="text1"/>
          <w:sz w:val="28"/>
          <w:szCs w:val="28"/>
          <w:shd w:val="clear" w:color="auto" w:fill="FFFFFF"/>
        </w:rPr>
        <w:t>。这个平均值</w:t>
      </w:r>
      <w:r>
        <w:rPr>
          <w:rFonts w:hint="eastAsia" w:cs="Arial" w:asciiTheme="minorEastAsia" w:hAnsiTheme="minorEastAsia" w:eastAsiaTheme="minorEastAsia"/>
          <w:color w:val="000000" w:themeColor="text1"/>
          <w:position w:val="-4"/>
          <w:sz w:val="28"/>
          <w:szCs w:val="28"/>
          <w:shd w:val="clear" w:color="auto" w:fill="FFFFFF"/>
        </w:rPr>
        <w:object>
          <v:shape id="_x0000_i1092" o:spt="75" type="#_x0000_t75" style="height:9.35pt;width:9.35pt;" o:ole="t" filled="f" o:preferrelative="t" stroked="f" coordsize="21600,21600">
            <v:path/>
            <v:fill on="f" focussize="0,0"/>
            <v:stroke on="f" joinstyle="miter"/>
            <v:imagedata r:id="rId163" o:title=""/>
            <o:lock v:ext="edit" aspectratio="t"/>
            <w10:wrap type="none"/>
            <w10:anchorlock/>
          </v:shape>
          <o:OLEObject Type="Embed" ProgID="Equation.3" ShapeID="_x0000_i1092" DrawAspect="Content" ObjectID="_1468075792" r:id="rId162">
            <o:LockedField>false</o:LockedField>
          </o:OLEObject>
        </w:object>
      </w:r>
      <w:r>
        <w:rPr>
          <w:rFonts w:hint="eastAsia" w:cs="Arial" w:asciiTheme="minorEastAsia" w:hAnsiTheme="minorEastAsia" w:eastAsiaTheme="minorEastAsia"/>
          <w:color w:val="000000" w:themeColor="text1"/>
          <w:sz w:val="28"/>
          <w:szCs w:val="28"/>
          <w:shd w:val="clear" w:color="auto" w:fill="FFFFFF"/>
        </w:rPr>
        <w:t>称为</w:t>
      </w:r>
      <w:r>
        <w:rPr>
          <w:rFonts w:hint="eastAsia" w:cs="Arial" w:asciiTheme="minorEastAsia" w:hAnsiTheme="minorEastAsia" w:eastAsiaTheme="minorEastAsia"/>
          <w:color w:val="000000" w:themeColor="text1"/>
          <w:position w:val="-10"/>
          <w:sz w:val="28"/>
          <w:szCs w:val="28"/>
          <w:shd w:val="clear" w:color="auto" w:fill="FFFFFF"/>
        </w:rPr>
        <w:object>
          <v:shape id="_x0000_i1093" o:spt="75" type="#_x0000_t75" style="height:18.7pt;width:38.35pt;" o:ole="t" filled="f" o:preferrelative="t" stroked="f" coordsize="21600,21600">
            <v:path/>
            <v:fill on="f" focussize="0,0"/>
            <v:stroke on="f" joinstyle="miter"/>
            <v:imagedata r:id="rId157" o:title=""/>
            <o:lock v:ext="edit" aspectratio="t"/>
            <w10:wrap type="none"/>
            <w10:anchorlock/>
          </v:shape>
          <o:OLEObject Type="Embed" ProgID="Equation.3" ShapeID="_x0000_i1093" DrawAspect="Content" ObjectID="_1468075793" r:id="rId164">
            <o:LockedField>false</o:LockedField>
          </o:OLEObject>
        </w:object>
      </w:r>
      <w:r>
        <w:rPr>
          <w:rFonts w:hint="eastAsia" w:cs="Arial" w:asciiTheme="minorEastAsia" w:hAnsiTheme="minorEastAsia" w:eastAsiaTheme="minorEastAsia"/>
          <w:color w:val="000000" w:themeColor="text1"/>
          <w:sz w:val="28"/>
          <w:szCs w:val="28"/>
          <w:shd w:val="clear" w:color="auto" w:fill="FFFFFF"/>
        </w:rPr>
        <w:t>序列与</w:t>
      </w:r>
      <w:r>
        <w:rPr>
          <w:rFonts w:hint="eastAsia" w:cs="Arial" w:asciiTheme="minorEastAsia" w:hAnsiTheme="minorEastAsia" w:eastAsiaTheme="minorEastAsia"/>
          <w:color w:val="000000" w:themeColor="text1"/>
          <w:position w:val="-10"/>
          <w:sz w:val="28"/>
          <w:szCs w:val="28"/>
          <w:shd w:val="clear" w:color="auto" w:fill="FFFFFF"/>
        </w:rPr>
        <w:object>
          <v:shape id="_x0000_i1094" o:spt="75" type="#_x0000_t75" style="height:17.75pt;width:38.35pt;" o:ole="t" filled="f" o:preferrelative="t" stroked="f" coordsize="21600,21600">
            <v:path/>
            <v:fill on="f" focussize="0,0"/>
            <v:stroke on="f" joinstyle="miter"/>
            <v:imagedata r:id="rId159" o:title=""/>
            <o:lock v:ext="edit" aspectratio="t"/>
            <w10:wrap type="none"/>
            <w10:anchorlock/>
          </v:shape>
          <o:OLEObject Type="Embed" ProgID="Equation.3" ShapeID="_x0000_i1094" DrawAspect="Content" ObjectID="_1468075794" r:id="rId165">
            <o:LockedField>false</o:LockedField>
          </o:OLEObject>
        </w:object>
      </w:r>
      <w:r>
        <w:rPr>
          <w:rFonts w:hint="eastAsia" w:cs="Arial" w:asciiTheme="minorEastAsia" w:hAnsiTheme="minorEastAsia" w:eastAsiaTheme="minorEastAsia"/>
          <w:color w:val="000000" w:themeColor="text1"/>
          <w:sz w:val="28"/>
          <w:szCs w:val="28"/>
          <w:shd w:val="clear" w:color="auto" w:fill="FFFFFF"/>
        </w:rPr>
        <w:t>序列的关联度。根据经验，当</w:t>
      </w:r>
      <w:r>
        <w:rPr>
          <w:rFonts w:hint="eastAsia" w:cs="Arial" w:asciiTheme="minorEastAsia" w:hAnsiTheme="minorEastAsia" w:eastAsiaTheme="minorEastAsia"/>
          <w:color w:val="000000" w:themeColor="text1"/>
          <w:position w:val="-10"/>
          <w:sz w:val="28"/>
          <w:szCs w:val="28"/>
          <w:shd w:val="clear" w:color="auto" w:fill="FFFFFF"/>
        </w:rPr>
        <w:object>
          <v:shape id="_x0000_i1095" o:spt="75" type="#_x0000_t75" style="height:15.9pt;width:38.35pt;" o:ole="t" filled="f" o:preferrelative="t" stroked="f" coordsize="21600,21600">
            <v:path/>
            <v:fill on="f" focussize="0,0"/>
            <v:stroke on="f" joinstyle="miter"/>
            <v:imagedata r:id="rId167" o:title=""/>
            <o:lock v:ext="edit" aspectratio="t"/>
            <w10:wrap type="none"/>
            <w10:anchorlock/>
          </v:shape>
          <o:OLEObject Type="Embed" ProgID="Equation.3" ShapeID="_x0000_i1095" DrawAspect="Content" ObjectID="_1468075795" r:id="rId166">
            <o:LockedField>false</o:LockedField>
          </o:OLEObject>
        </w:object>
      </w:r>
      <w:r>
        <w:rPr>
          <w:rFonts w:hint="eastAsia" w:cs="Arial" w:asciiTheme="minorEastAsia" w:hAnsiTheme="minorEastAsia" w:eastAsiaTheme="minorEastAsia"/>
          <w:color w:val="000000" w:themeColor="text1"/>
          <w:sz w:val="28"/>
          <w:szCs w:val="28"/>
          <w:shd w:val="clear" w:color="auto" w:fill="FFFFFF"/>
        </w:rPr>
        <w:t>时，关联度大于0.6便满意了。</w:t>
      </w:r>
    </w:p>
    <w:p>
      <w:pPr>
        <w:widowControl/>
        <w:numPr>
          <w:ilvl w:val="0"/>
          <w:numId w:val="4"/>
        </w:numPr>
        <w:spacing w:before="0" w:after="0" w:line="360" w:lineRule="auto"/>
        <w:ind w:left="0" w:firstLine="560" w:firstLineChars="200"/>
        <w:jc w:val="left"/>
        <w:rPr>
          <w:rFonts w:cs="Arial" w:asciiTheme="minorEastAsia" w:hAnsiTheme="minorEastAsia" w:eastAsiaTheme="minorEastAsia"/>
          <w:color w:val="000000" w:themeColor="text1"/>
          <w:sz w:val="28"/>
          <w:szCs w:val="28"/>
          <w:shd w:val="clear" w:color="auto" w:fill="FFFFFF"/>
        </w:rPr>
      </w:pPr>
      <w:r>
        <w:rPr>
          <w:rFonts w:hint="eastAsia" w:cs="Arial" w:asciiTheme="minorEastAsia" w:hAnsiTheme="minorEastAsia" w:eastAsiaTheme="minorEastAsia"/>
          <w:color w:val="000000" w:themeColor="text1"/>
          <w:sz w:val="28"/>
          <w:szCs w:val="28"/>
          <w:shd w:val="clear" w:color="auto" w:fill="FFFFFF"/>
        </w:rPr>
        <w:t>后验差检验</w:t>
      </w:r>
    </w:p>
    <w:p>
      <w:pPr>
        <w:widowControl/>
        <w:spacing w:before="0" w:after="0" w:line="360" w:lineRule="auto"/>
        <w:ind w:left="0" w:firstLine="560" w:firstLineChars="200"/>
        <w:jc w:val="left"/>
        <w:rPr>
          <w:rFonts w:cs="Arial" w:asciiTheme="minorEastAsia" w:hAnsiTheme="minorEastAsia" w:eastAsiaTheme="minorEastAsia"/>
          <w:color w:val="000000" w:themeColor="text1"/>
          <w:sz w:val="28"/>
          <w:szCs w:val="28"/>
          <w:shd w:val="clear" w:color="auto" w:fill="FFFFFF"/>
        </w:rPr>
      </w:pPr>
      <w:r>
        <w:rPr>
          <w:rFonts w:cs="Calibri" w:asciiTheme="minorEastAsia" w:hAnsiTheme="minorEastAsia" w:eastAsiaTheme="minorEastAsia"/>
          <w:color w:val="000000" w:themeColor="text1"/>
          <w:sz w:val="28"/>
          <w:szCs w:val="28"/>
          <w:shd w:val="clear" w:color="auto" w:fill="FFFFFF"/>
        </w:rPr>
        <w:t>①</w:t>
      </w:r>
      <w:r>
        <w:rPr>
          <w:rFonts w:hint="eastAsia" w:cs="Arial" w:asciiTheme="minorEastAsia" w:hAnsiTheme="minorEastAsia" w:eastAsiaTheme="minorEastAsia"/>
          <w:color w:val="000000" w:themeColor="text1"/>
          <w:sz w:val="28"/>
          <w:szCs w:val="28"/>
          <w:shd w:val="clear" w:color="auto" w:fill="FFFFFF"/>
        </w:rPr>
        <w:t>计算原始数据的均值和方差：</w:t>
      </w:r>
    </w:p>
    <w:p>
      <w:pPr>
        <w:widowControl/>
        <w:spacing w:before="0" w:after="0" w:line="360" w:lineRule="auto"/>
        <w:ind w:left="0" w:firstLine="560" w:firstLineChars="200"/>
        <w:jc w:val="left"/>
        <w:rPr>
          <w:rFonts w:cs="Arial" w:asciiTheme="minorEastAsia" w:hAnsiTheme="minorEastAsia" w:eastAsiaTheme="minorEastAsia"/>
          <w:color w:val="000000" w:themeColor="text1"/>
          <w:sz w:val="28"/>
          <w:szCs w:val="28"/>
          <w:shd w:val="clear" w:color="auto" w:fill="FFFFFF"/>
        </w:rPr>
      </w:pPr>
      <w:r>
        <w:rPr>
          <w:rFonts w:hint="eastAsia" w:cs="Arial" w:asciiTheme="minorEastAsia" w:hAnsiTheme="minorEastAsia" w:eastAsiaTheme="minorEastAsia"/>
          <w:color w:val="000000" w:themeColor="text1"/>
          <w:sz w:val="28"/>
          <w:szCs w:val="28"/>
          <w:shd w:val="clear" w:color="auto" w:fill="FFFFFF"/>
        </w:rPr>
        <w:t xml:space="preserve">                    </w:t>
      </w:r>
      <w:r>
        <w:rPr>
          <w:rFonts w:hint="eastAsia" w:cs="Arial" w:asciiTheme="minorEastAsia" w:hAnsiTheme="minorEastAsia" w:eastAsiaTheme="minorEastAsia"/>
          <w:color w:val="000000" w:themeColor="text1"/>
          <w:position w:val="-28"/>
          <w:sz w:val="28"/>
          <w:szCs w:val="28"/>
          <w:shd w:val="clear" w:color="auto" w:fill="FFFFFF"/>
        </w:rPr>
        <w:object>
          <v:shape id="_x0000_i1096" o:spt="75" type="#_x0000_t75" style="height:33.65pt;width:75.75pt;" o:ole="t" filled="f" o:preferrelative="t" stroked="f" coordsize="21600,21600">
            <v:path/>
            <v:fill on="f" focussize="0,0"/>
            <v:stroke on="f" joinstyle="miter"/>
            <v:imagedata r:id="rId169" o:title=""/>
            <o:lock v:ext="edit" aspectratio="t"/>
            <w10:wrap type="none"/>
            <w10:anchorlock/>
          </v:shape>
          <o:OLEObject Type="Embed" ProgID="Equation.3" ShapeID="_x0000_i1096" DrawAspect="Content" ObjectID="_1468075796" r:id="rId168">
            <o:LockedField>false</o:LockedField>
          </o:OLEObject>
        </w:object>
      </w:r>
      <w:r>
        <w:rPr>
          <w:rFonts w:hint="eastAsia" w:cs="Arial" w:asciiTheme="minorEastAsia" w:hAnsiTheme="minorEastAsia" w:eastAsiaTheme="minorEastAsia"/>
          <w:color w:val="000000" w:themeColor="text1"/>
          <w:sz w:val="28"/>
          <w:szCs w:val="28"/>
          <w:shd w:val="clear" w:color="auto" w:fill="FFFFFF"/>
        </w:rPr>
        <w:t xml:space="preserve">          </w:t>
      </w:r>
      <w:r>
        <w:rPr>
          <w:rFonts w:cs="Arial" w:asciiTheme="minorEastAsia" w:hAnsiTheme="minorEastAsia" w:eastAsiaTheme="minorEastAsia"/>
          <w:color w:val="000000" w:themeColor="text1"/>
          <w:sz w:val="28"/>
          <w:szCs w:val="28"/>
          <w:shd w:val="clear" w:color="auto" w:fill="FFFFFF"/>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17</w:t>
      </w:r>
      <w:r>
        <w:rPr>
          <w:rFonts w:hint="eastAsia" w:asciiTheme="minorEastAsia" w:hAnsiTheme="minorEastAsia" w:eastAsiaTheme="minorEastAsia"/>
          <w:color w:val="000000" w:themeColor="text1"/>
          <w:sz w:val="28"/>
          <w:szCs w:val="28"/>
        </w:rPr>
        <w:t>）</w:t>
      </w:r>
    </w:p>
    <w:p>
      <w:pPr>
        <w:spacing w:before="0" w:after="0" w:line="360" w:lineRule="auto"/>
        <w:ind w:left="0" w:firstLine="560" w:firstLineChars="200"/>
        <w:jc w:val="lef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color w:val="000000" w:themeColor="text1"/>
          <w:kern w:val="0"/>
          <w:sz w:val="28"/>
          <w:szCs w:val="28"/>
        </w:rPr>
        <w:t xml:space="preserve">                   </w:t>
      </w:r>
      <w:r>
        <w:rPr>
          <w:rFonts w:hint="eastAsia" w:cs="宋体" w:asciiTheme="minorEastAsia" w:hAnsiTheme="minorEastAsia" w:eastAsiaTheme="minorEastAsia"/>
          <w:color w:val="000000" w:themeColor="text1"/>
          <w:kern w:val="0"/>
          <w:position w:val="-28"/>
          <w:sz w:val="28"/>
          <w:szCs w:val="28"/>
        </w:rPr>
        <w:object>
          <v:shape id="_x0000_i1097" o:spt="75" type="#_x0000_t75" style="height:36.45pt;width:110.35pt;" o:ole="t" filled="f" o:preferrelative="t" stroked="f" coordsize="21600,21600">
            <v:path/>
            <v:fill on="f" focussize="0,0"/>
            <v:stroke on="f" joinstyle="miter"/>
            <v:imagedata r:id="rId171" o:title=""/>
            <o:lock v:ext="edit" aspectratio="t"/>
            <w10:wrap type="none"/>
            <w10:anchorlock/>
          </v:shape>
          <o:OLEObject Type="Embed" ProgID="Equation.3" ShapeID="_x0000_i1097" DrawAspect="Content" ObjectID="_1468075797" r:id="rId170">
            <o:LockedField>false</o:LockedField>
          </o:OLEObject>
        </w:object>
      </w:r>
      <w:r>
        <w:rPr>
          <w:rFonts w:hint="eastAsia" w:cs="宋体" w:asciiTheme="minorEastAsia" w:hAnsiTheme="minorEastAsia" w:eastAsiaTheme="minorEastAsia"/>
          <w:color w:val="000000" w:themeColor="text1"/>
          <w:kern w:val="0"/>
          <w:sz w:val="28"/>
          <w:szCs w:val="28"/>
        </w:rPr>
        <w:t xml:space="preserve">           </w:t>
      </w:r>
      <w:r>
        <w:rPr>
          <w:rFonts w:cs="宋体" w:asciiTheme="minorEastAsia" w:hAnsiTheme="minorEastAsia" w:eastAsiaTheme="minorEastAsia"/>
          <w:color w:val="000000" w:themeColor="text1"/>
          <w:kern w:val="0"/>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18</w:t>
      </w:r>
      <w:r>
        <w:rPr>
          <w:rFonts w:hint="eastAsia" w:asciiTheme="minorEastAsia" w:hAnsiTheme="minorEastAsia" w:eastAsiaTheme="minorEastAsia"/>
          <w:color w:val="000000" w:themeColor="text1"/>
          <w:sz w:val="28"/>
          <w:szCs w:val="28"/>
        </w:rPr>
        <w:t>）</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4.ShapIey</w:t>
      </w:r>
      <w:r>
        <w:rPr>
          <w:rFonts w:hint="eastAsia"/>
          <w:color w:val="000000" w:themeColor="text1"/>
          <w:kern w:val="0"/>
          <w:sz w:val="28"/>
        </w:rPr>
        <w:t>组合预测模型构建</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快递业务量的数据特征：前期增长缓慢，后期增长迅速。</w:t>
      </w:r>
      <w:r>
        <w:rPr>
          <w:color w:val="000000" w:themeColor="text1"/>
          <w:kern w:val="0"/>
          <w:sz w:val="28"/>
        </w:rPr>
        <w:t xml:space="preserve"> </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组合预测基于两种及两种以上的单项预测模型，充分利用各单项预测方法的独立信息。常用的组合预测有线性组合预测和非线性组合预测，组合预测是为了充分发挥各单项预测自身的优势，从而达到提高预测精度的目的。本规划主要应用线性组合预测方法，其关键是确定各单项预测模型的权重。所确定的权重必须尽可能地表现出各单项预测方法对总的预测结果的影响程度，预测误差的大小与权重的大小成反比关系，即单项预测的误差越大，它在组合预测中所占的权重越小。假设对某一预测对象采用一种不同的预测模型进行预测，则由这n个预测模型构成的组合预测模型为：</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cs="宋体" w:asciiTheme="minorEastAsia" w:hAnsiTheme="minorEastAsia" w:eastAsiaTheme="minorEastAsia"/>
          <w:color w:val="000000" w:themeColor="text1"/>
          <w:kern w:val="0"/>
          <w:sz w:val="28"/>
          <w:szCs w:val="28"/>
        </w:rPr>
        <w:t xml:space="preserve">           </w:t>
      </w:r>
      <w:r>
        <w:rPr>
          <w:rFonts w:hint="eastAsia" w:cs="宋体" w:asciiTheme="minorEastAsia" w:hAnsiTheme="minorEastAsia" w:eastAsiaTheme="minorEastAsia"/>
          <w:color w:val="000000" w:themeColor="text1"/>
          <w:kern w:val="0"/>
          <w:sz w:val="28"/>
          <w:szCs w:val="28"/>
        </w:rPr>
        <w:t xml:space="preserve">  </w:t>
      </w:r>
      <w:r>
        <w:rPr>
          <w:rFonts w:hint="eastAsia" w:cs="宋体" w:asciiTheme="minorEastAsia" w:hAnsiTheme="minorEastAsia" w:eastAsiaTheme="minorEastAsia"/>
          <w:color w:val="000000" w:themeColor="text1"/>
          <w:kern w:val="0"/>
          <w:position w:val="-28"/>
          <w:sz w:val="28"/>
          <w:szCs w:val="28"/>
        </w:rPr>
        <w:object>
          <v:shape id="_x0000_i1098" o:spt="75" type="#_x0000_t75" style="height:33.65pt;width:108.45pt;" o:ole="t" filled="f" o:preferrelative="t" stroked="f" coordsize="21600,21600">
            <v:path/>
            <v:fill on="f" focussize="0,0"/>
            <v:stroke on="f" joinstyle="miter"/>
            <v:imagedata r:id="rId173" o:title=""/>
            <o:lock v:ext="edit" aspectratio="t"/>
            <w10:wrap type="none"/>
            <w10:anchorlock/>
          </v:shape>
          <o:OLEObject Type="Embed" ProgID="Equation.3" ShapeID="_x0000_i1098" DrawAspect="Content" ObjectID="_1468075798" r:id="rId172">
            <o:LockedField>false</o:LockedField>
          </o:OLEObject>
        </w:object>
      </w:r>
      <w:r>
        <w:rPr>
          <w:rFonts w:hint="eastAsia" w:cs="宋体" w:asciiTheme="minorEastAsia" w:hAnsiTheme="minorEastAsia" w:eastAsiaTheme="minorEastAsia"/>
          <w:color w:val="000000" w:themeColor="text1"/>
          <w:kern w:val="0"/>
          <w:sz w:val="28"/>
          <w:szCs w:val="28"/>
        </w:rPr>
        <w:t xml:space="preserve">    </w:t>
      </w:r>
      <w:r>
        <w:rPr>
          <w:rFonts w:cs="宋体" w:asciiTheme="minorEastAsia" w:hAnsiTheme="minorEastAsia" w:eastAsiaTheme="minorEastAsia"/>
          <w:color w:val="000000" w:themeColor="text1"/>
          <w:kern w:val="0"/>
          <w:sz w:val="28"/>
          <w:szCs w:val="28"/>
        </w:rPr>
        <w:t xml:space="preserve">       </w:t>
      </w:r>
      <w:r>
        <w:rPr>
          <w:rFonts w:hint="eastAsia" w:cs="宋体" w:asciiTheme="minorEastAsia" w:hAnsiTheme="minorEastAsia" w:eastAsiaTheme="minorEastAsia"/>
          <w:color w:val="000000" w:themeColor="text1"/>
          <w:kern w:val="0"/>
          <w:sz w:val="28"/>
          <w:szCs w:val="28"/>
        </w:rPr>
        <w:t xml:space="preserve">  </w:t>
      </w:r>
      <w:r>
        <w:rPr>
          <w:rFonts w:cs="宋体" w:asciiTheme="minorEastAsia" w:hAnsiTheme="minorEastAsia" w:eastAsiaTheme="minorEastAsia"/>
          <w:color w:val="000000" w:themeColor="text1"/>
          <w:kern w:val="0"/>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19</w:t>
      </w:r>
      <w:r>
        <w:rPr>
          <w:rFonts w:hint="eastAsia" w:asciiTheme="minorEastAsia" w:hAnsiTheme="minorEastAsia" w:eastAsiaTheme="minorEastAsia"/>
          <w:color w:val="000000" w:themeColor="text1"/>
          <w:sz w:val="28"/>
          <w:szCs w:val="28"/>
        </w:rPr>
        <w:t>）</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其中：</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0"/>
          <w:sz w:val="28"/>
          <w:szCs w:val="28"/>
        </w:rPr>
        <w:object>
          <v:shape id="_x0000_i1099" o:spt="75" type="#_x0000_t75" style="height:13.1pt;width:12.15pt;" o:ole="t" filled="f" o:preferrelative="t" stroked="f" coordsize="21600,21600">
            <v:path/>
            <v:fill on="f" focussize="0,0"/>
            <v:stroke on="f" joinstyle="miter"/>
            <v:imagedata r:id="rId175" o:title=""/>
            <o:lock v:ext="edit" aspectratio="t"/>
            <w10:wrap type="none"/>
            <w10:anchorlock/>
          </v:shape>
          <o:OLEObject Type="Embed" ProgID="Equation.3" ShapeID="_x0000_i1099" DrawAspect="Content" ObjectID="_1468075799" r:id="rId174">
            <o:LockedField>false</o:LockedField>
          </o:OLEObject>
        </w:objec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000000" w:themeColor="text1"/>
          <w:position w:val="-6"/>
          <w:sz w:val="28"/>
          <w:szCs w:val="28"/>
        </w:rPr>
        <w:object>
          <v:shape id="_x0000_i1100" o:spt="75" type="#_x0000_t75" style="height:12.15pt;width:6.55pt;" o:ole="t" filled="f" o:preferrelative="t" stroked="f" coordsize="21600,21600">
            <v:path/>
            <v:fill on="f" focussize="0,0"/>
            <v:stroke on="f" joinstyle="miter"/>
            <v:imagedata r:id="rId177" o:title=""/>
            <o:lock v:ext="edit" aspectratio="t"/>
            <w10:wrap type="none"/>
            <w10:anchorlock/>
          </v:shape>
          <o:OLEObject Type="Embed" ProgID="Equation.3" ShapeID="_x0000_i1100" DrawAspect="Content" ObjectID="_1468075800" r:id="rId176">
            <o:LockedField>false</o:LockedField>
          </o:OLEObject>
        </w:object>
      </w:r>
      <w:r>
        <w:rPr>
          <w:rFonts w:hint="eastAsia" w:asciiTheme="minorEastAsia" w:hAnsiTheme="minorEastAsia" w:eastAsiaTheme="minorEastAsia"/>
          <w:color w:val="000000" w:themeColor="text1"/>
          <w:sz w:val="28"/>
          <w:szCs w:val="28"/>
        </w:rPr>
        <w:t>时刻的组合预测值</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6"/>
          <w:sz w:val="28"/>
          <w:szCs w:val="28"/>
        </w:rPr>
        <w:object>
          <v:shape id="_x0000_i1101" o:spt="75" type="#_x0000_t75" style="height:11.2pt;width:11.2pt;" o:ole="t" filled="f" o:preferrelative="t" stroked="f" coordsize="21600,21600">
            <v:path/>
            <v:fill on="f" focussize="0,0"/>
            <v:stroke on="f" joinstyle="miter"/>
            <v:imagedata r:id="rId179" o:title=""/>
            <o:lock v:ext="edit" aspectratio="t"/>
            <w10:wrap type="none"/>
            <w10:anchorlock/>
          </v:shape>
          <o:OLEObject Type="Embed" ProgID="Equation.3" ShapeID="_x0000_i1101" DrawAspect="Content" ObjectID="_1468075801" r:id="rId178">
            <o:LockedField>false</o:LockedField>
          </o:OLEObject>
        </w:object>
      </w:r>
      <w:r>
        <w:rPr>
          <w:rFonts w:hint="eastAsia" w:asciiTheme="minorEastAsia" w:hAnsiTheme="minorEastAsia" w:eastAsiaTheme="minorEastAsia"/>
          <w:color w:val="000000" w:themeColor="text1"/>
          <w:sz w:val="28"/>
          <w:szCs w:val="28"/>
        </w:rPr>
        <w:t>：在第</w:t>
      </w:r>
      <w:r>
        <w:rPr>
          <w:rFonts w:hint="eastAsia" w:asciiTheme="minorEastAsia" w:hAnsiTheme="minorEastAsia" w:eastAsiaTheme="minorEastAsia"/>
          <w:color w:val="000000" w:themeColor="text1"/>
          <w:position w:val="-6"/>
          <w:sz w:val="28"/>
          <w:szCs w:val="28"/>
        </w:rPr>
        <w:object>
          <v:shape id="_x0000_i1102" o:spt="75" type="#_x0000_t75" style="height:13.1pt;width:6.55pt;" o:ole="t" filled="f" o:preferrelative="t" stroked="f" coordsize="21600,21600">
            <v:path/>
            <v:fill on="f" focussize="0,0"/>
            <v:stroke on="f" joinstyle="miter"/>
            <v:imagedata r:id="rId181" o:title=""/>
            <o:lock v:ext="edit" aspectratio="t"/>
            <w10:wrap type="none"/>
            <w10:anchorlock/>
          </v:shape>
          <o:OLEObject Type="Embed" ProgID="Equation.3" ShapeID="_x0000_i1102" DrawAspect="Content" ObjectID="_1468075802" r:id="rId180">
            <o:LockedField>false</o:LockedField>
          </o:OLEObject>
        </w:object>
      </w:r>
      <w:r>
        <w:rPr>
          <w:rFonts w:hint="eastAsia" w:asciiTheme="minorEastAsia" w:hAnsiTheme="minorEastAsia" w:eastAsiaTheme="minorEastAsia"/>
          <w:color w:val="000000" w:themeColor="text1"/>
          <w:sz w:val="28"/>
          <w:szCs w:val="28"/>
        </w:rPr>
        <w:t>种预测方法在组合预测中所占的权数并且</w:t>
      </w:r>
      <w:r>
        <w:rPr>
          <w:rFonts w:hint="eastAsia" w:asciiTheme="minorEastAsia" w:hAnsiTheme="minorEastAsia" w:eastAsiaTheme="minorEastAsia"/>
          <w:color w:val="000000" w:themeColor="text1"/>
          <w:position w:val="-28"/>
          <w:sz w:val="28"/>
          <w:szCs w:val="28"/>
        </w:rPr>
        <w:object>
          <v:shape id="_x0000_i1103" o:spt="75" type="#_x0000_t75" style="height:33.65pt;width:41.15pt;" o:ole="t" filled="f" o:preferrelative="t" stroked="f" coordsize="21600,21600">
            <v:path/>
            <v:fill on="f" focussize="0,0"/>
            <v:stroke on="f" joinstyle="miter"/>
            <v:imagedata r:id="rId183" o:title=""/>
            <o:lock v:ext="edit" aspectratio="t"/>
            <w10:wrap type="none"/>
            <w10:anchorlock/>
          </v:shape>
          <o:OLEObject Type="Embed" ProgID="Equation.3" ShapeID="_x0000_i1103" DrawAspect="Content" ObjectID="_1468075803" r:id="rId182">
            <o:LockedField>false</o:LockedField>
          </o:OLEObject>
        </w:objec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0"/>
          <w:sz w:val="28"/>
          <w:szCs w:val="28"/>
        </w:rPr>
        <w:object>
          <v:shape id="_x0000_i1104" o:spt="75" type="#_x0000_t75" style="height:13.1pt;width:13.1pt;" o:ole="t" filled="f" o:preferrelative="t" stroked="f" coordsize="21600,21600">
            <v:path/>
            <v:fill on="f" focussize="0,0"/>
            <v:stroke on="f" joinstyle="miter"/>
            <v:imagedata r:id="rId185" o:title=""/>
            <o:lock v:ext="edit" aspectratio="t"/>
            <w10:wrap type="none"/>
            <w10:anchorlock/>
          </v:shape>
          <o:OLEObject Type="Embed" ProgID="Equation.3" ShapeID="_x0000_i1104" DrawAspect="Content" ObjectID="_1468075804" r:id="rId184">
            <o:LockedField>false</o:LockedField>
          </o:OLEObject>
        </w:object>
      </w:r>
      <w:r>
        <w:rPr>
          <w:rFonts w:hint="eastAsia" w:asciiTheme="minorEastAsia" w:hAnsiTheme="minorEastAsia" w:eastAsiaTheme="minorEastAsia"/>
          <w:color w:val="000000" w:themeColor="text1"/>
          <w:sz w:val="28"/>
          <w:szCs w:val="28"/>
        </w:rPr>
        <w:t>：在第</w:t>
      </w:r>
      <w:r>
        <w:rPr>
          <w:rFonts w:hint="eastAsia" w:asciiTheme="minorEastAsia" w:hAnsiTheme="minorEastAsia" w:eastAsiaTheme="minorEastAsia"/>
          <w:color w:val="000000" w:themeColor="text1"/>
          <w:position w:val="-6"/>
          <w:sz w:val="28"/>
          <w:szCs w:val="28"/>
        </w:rPr>
        <w:object>
          <v:shape id="_x0000_i1105" o:spt="75" type="#_x0000_t75" style="height:13.1pt;width:6.55pt;" o:ole="t" filled="f" o:preferrelative="t" stroked="f" coordsize="21600,21600">
            <v:path/>
            <v:fill on="f" focussize="0,0"/>
            <v:stroke on="f" joinstyle="miter"/>
            <v:imagedata r:id="rId187" o:title=""/>
            <o:lock v:ext="edit" aspectratio="t"/>
            <w10:wrap type="none"/>
            <w10:anchorlock/>
          </v:shape>
          <o:OLEObject Type="Embed" ProgID="Equation.3" ShapeID="_x0000_i1105" DrawAspect="Content" ObjectID="_1468075805" r:id="rId186">
            <o:LockedField>false</o:LockedField>
          </o:OLEObject>
        </w:object>
      </w:r>
      <w:r>
        <w:rPr>
          <w:rFonts w:hint="eastAsia" w:asciiTheme="minorEastAsia" w:hAnsiTheme="minorEastAsia" w:eastAsiaTheme="minorEastAsia"/>
          <w:color w:val="000000" w:themeColor="text1"/>
          <w:sz w:val="28"/>
          <w:szCs w:val="28"/>
        </w:rPr>
        <w:t>种方法在</w:t>
      </w:r>
      <w:r>
        <w:rPr>
          <w:rFonts w:hint="eastAsia" w:asciiTheme="minorEastAsia" w:hAnsiTheme="minorEastAsia" w:eastAsiaTheme="minorEastAsia"/>
          <w:color w:val="000000" w:themeColor="text1"/>
          <w:position w:val="-6"/>
          <w:sz w:val="28"/>
          <w:szCs w:val="28"/>
        </w:rPr>
        <w:object>
          <v:shape id="_x0000_i1106" o:spt="75" type="#_x0000_t75" style="height:12.15pt;width:6.55pt;" o:ole="t" filled="f" o:preferrelative="t" stroked="f" coordsize="21600,21600">
            <v:path/>
            <v:fill on="f" focussize="0,0"/>
            <v:stroke on="f" joinstyle="miter"/>
            <v:imagedata r:id="rId189" o:title=""/>
            <o:lock v:ext="edit" aspectratio="t"/>
            <w10:wrap type="none"/>
            <w10:anchorlock/>
          </v:shape>
          <o:OLEObject Type="Embed" ProgID="Equation.3" ShapeID="_x0000_i1106" DrawAspect="Content" ObjectID="_1468075806" r:id="rId188">
            <o:LockedField>false</o:LockedField>
          </o:OLEObject>
        </w:object>
      </w:r>
      <w:r>
        <w:rPr>
          <w:rFonts w:hint="eastAsia" w:asciiTheme="minorEastAsia" w:hAnsiTheme="minorEastAsia" w:eastAsiaTheme="minorEastAsia"/>
          <w:color w:val="000000" w:themeColor="text1"/>
          <w:sz w:val="28"/>
          <w:szCs w:val="28"/>
        </w:rPr>
        <w:t>时刻的预测值</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第</w:t>
      </w:r>
      <w:r>
        <w:rPr>
          <w:rFonts w:hint="eastAsia" w:asciiTheme="minorEastAsia" w:hAnsiTheme="minorEastAsia" w:eastAsiaTheme="minorEastAsia"/>
          <w:color w:val="000000" w:themeColor="text1"/>
          <w:position w:val="-6"/>
          <w:sz w:val="28"/>
          <w:szCs w:val="28"/>
        </w:rPr>
        <w:object>
          <v:shape id="_x0000_i1107" o:spt="75" type="#_x0000_t75" style="height:13.1pt;width:6.55pt;" o:ole="t" filled="f" o:preferrelative="t" stroked="f" coordsize="21600,21600">
            <v:path/>
            <v:fill on="f" focussize="0,0"/>
            <v:stroke on="f" joinstyle="miter"/>
            <v:imagedata r:id="rId191" o:title=""/>
            <o:lock v:ext="edit" aspectratio="t"/>
            <w10:wrap type="none"/>
            <w10:anchorlock/>
          </v:shape>
          <o:OLEObject Type="Embed" ProgID="Equation.3" ShapeID="_x0000_i1107" DrawAspect="Content" ObjectID="_1468075807" r:id="rId190">
            <o:LockedField>false</o:LockedField>
          </o:OLEObject>
        </w:object>
      </w:r>
      <w:r>
        <w:rPr>
          <w:rFonts w:hint="eastAsia" w:asciiTheme="minorEastAsia" w:hAnsiTheme="minorEastAsia" w:eastAsiaTheme="minorEastAsia"/>
          <w:color w:val="000000" w:themeColor="text1"/>
          <w:sz w:val="28"/>
          <w:szCs w:val="28"/>
        </w:rPr>
        <w:t>种预测方法的绝对误差的平均值为：</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position w:val="-30"/>
          <w:sz w:val="28"/>
          <w:szCs w:val="28"/>
        </w:rPr>
        <w:object>
          <v:shape id="_x0000_i1108" o:spt="75" type="#_x0000_t75" style="height:35.55pt;width:62.65pt;" o:ole="t" filled="f" o:preferrelative="t" stroked="f" coordsize="21600,21600">
            <v:path/>
            <v:fill on="f" focussize="0,0"/>
            <v:stroke on="f" joinstyle="miter"/>
            <v:imagedata r:id="rId193" o:title=""/>
            <o:lock v:ext="edit" aspectratio="t"/>
            <w10:wrap type="none"/>
            <w10:anchorlock/>
          </v:shape>
          <o:OLEObject Type="Embed" ProgID="Equation.3" ShapeID="_x0000_i1108" DrawAspect="Content" ObjectID="_1468075808" r:id="rId192">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（1-2</w:t>
      </w:r>
      <w:r>
        <w:rPr>
          <w:rFonts w:asciiTheme="minorEastAsia" w:hAnsiTheme="minorEastAsia" w:eastAsiaTheme="minorEastAsia"/>
          <w:color w:val="000000" w:themeColor="text1"/>
          <w:sz w:val="28"/>
          <w:szCs w:val="28"/>
        </w:rPr>
        <w:t>0</w:t>
      </w:r>
      <w:r>
        <w:rPr>
          <w:rFonts w:hint="eastAsia" w:asciiTheme="minorEastAsia" w:hAnsiTheme="minorEastAsia" w:eastAsiaTheme="minorEastAsia"/>
          <w:color w:val="000000" w:themeColor="text1"/>
          <w:sz w:val="28"/>
          <w:szCs w:val="28"/>
        </w:rPr>
        <w:t>）</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其中：</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8"/>
          <w:sz w:val="28"/>
          <w:szCs w:val="28"/>
        </w:rPr>
        <w:object>
          <v:shape id="_x0000_i1109" o:spt="75" type="#_x0000_t75" style="height:14.95pt;width:13.1pt;" o:ole="t" filled="f" o:preferrelative="t" stroked="f" coordsize="21600,21600">
            <v:path/>
            <v:fill on="f" focussize="0,0"/>
            <v:stroke on="f" joinstyle="miter"/>
            <v:imagedata r:id="rId195" o:title=""/>
            <o:lock v:ext="edit" aspectratio="t"/>
            <w10:wrap type="none"/>
            <w10:anchorlock/>
          </v:shape>
          <o:OLEObject Type="Embed" ProgID="Equation.3" ShapeID="_x0000_i1109" DrawAspect="Content" ObjectID="_1468075809" r:id="rId194">
            <o:LockedField>false</o:LockedField>
          </o:OLEObject>
        </w:object>
      </w:r>
      <w:r>
        <w:rPr>
          <w:rFonts w:hint="eastAsia" w:asciiTheme="minorEastAsia" w:hAnsiTheme="minorEastAsia" w:eastAsiaTheme="minorEastAsia"/>
          <w:color w:val="000000" w:themeColor="text1"/>
          <w:sz w:val="28"/>
          <w:szCs w:val="28"/>
        </w:rPr>
        <w:t>：第</w:t>
      </w:r>
      <w:r>
        <w:rPr>
          <w:rFonts w:hint="eastAsia" w:asciiTheme="minorEastAsia" w:hAnsiTheme="minorEastAsia" w:eastAsiaTheme="minorEastAsia"/>
          <w:color w:val="000000" w:themeColor="text1"/>
          <w:position w:val="-6"/>
          <w:sz w:val="28"/>
          <w:szCs w:val="28"/>
        </w:rPr>
        <w:object>
          <v:shape id="_x0000_i1110" o:spt="75" type="#_x0000_t75" style="height:13.1pt;width:6.55pt;" o:ole="t" filled="f" o:preferrelative="t" stroked="f" coordsize="21600,21600">
            <v:path/>
            <v:fill on="f" focussize="0,0"/>
            <v:stroke on="f" joinstyle="miter"/>
            <v:imagedata r:id="rId197" o:title=""/>
            <o:lock v:ext="edit" aspectratio="t"/>
            <w10:wrap type="none"/>
            <w10:anchorlock/>
          </v:shape>
          <o:OLEObject Type="Embed" ProgID="Equation.3" ShapeID="_x0000_i1110" DrawAspect="Content" ObjectID="_1468075810" r:id="rId196">
            <o:LockedField>false</o:LockedField>
          </o:OLEObject>
        </w:object>
      </w:r>
      <w:r>
        <w:rPr>
          <w:rFonts w:hint="eastAsia" w:asciiTheme="minorEastAsia" w:hAnsiTheme="minorEastAsia" w:eastAsiaTheme="minorEastAsia"/>
          <w:color w:val="000000" w:themeColor="text1"/>
          <w:sz w:val="28"/>
          <w:szCs w:val="28"/>
        </w:rPr>
        <w:t>种预测方法的误差的绝对平均值</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6"/>
          <w:sz w:val="28"/>
          <w:szCs w:val="28"/>
        </w:rPr>
        <w:object>
          <v:shape id="_x0000_i1111" o:spt="75" type="#_x0000_t75" style="height:11.2pt;width:13.1pt;" o:ole="t" filled="f" o:preferrelative="t" stroked="f" coordsize="21600,21600">
            <v:path/>
            <v:fill on="f" focussize="0,0"/>
            <v:stroke on="f" joinstyle="miter"/>
            <v:imagedata r:id="rId199" o:title=""/>
            <o:lock v:ext="edit" aspectratio="t"/>
            <w10:wrap type="none"/>
            <w10:anchorlock/>
          </v:shape>
          <o:OLEObject Type="Embed" ProgID="Equation.3" ShapeID="_x0000_i1111" DrawAspect="Content" ObjectID="_1468075811" r:id="rId198">
            <o:LockedField>false</o:LockedField>
          </o:OLEObject>
        </w:object>
      </w:r>
      <w:r>
        <w:rPr>
          <w:rFonts w:hint="eastAsia" w:asciiTheme="minorEastAsia" w:hAnsiTheme="minorEastAsia" w:eastAsiaTheme="minorEastAsia"/>
          <w:color w:val="000000" w:themeColor="text1"/>
          <w:sz w:val="28"/>
          <w:szCs w:val="28"/>
        </w:rPr>
        <w:t>：样本空间</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8"/>
          <w:sz w:val="28"/>
          <w:szCs w:val="28"/>
        </w:rPr>
        <w:object>
          <v:shape id="_x0000_i1112" o:spt="75" type="#_x0000_t75" style="height:12.15pt;width:12.15pt;" o:ole="t" filled="f" o:preferrelative="t" stroked="f" coordsize="21600,21600">
            <v:path/>
            <v:fill on="f" focussize="0,0"/>
            <v:stroke on="f" joinstyle="miter"/>
            <v:imagedata r:id="rId201" o:title=""/>
            <o:lock v:ext="edit" aspectratio="t"/>
            <w10:wrap type="none"/>
            <w10:anchorlock/>
          </v:shape>
          <o:OLEObject Type="Embed" ProgID="Equation.3" ShapeID="_x0000_i1112" DrawAspect="Content" ObjectID="_1468075812" r:id="rId200">
            <o:LockedField>false</o:LockedField>
          </o:OLEObject>
        </w:object>
      </w:r>
      <w:r>
        <w:rPr>
          <w:rFonts w:hint="eastAsia" w:asciiTheme="minorEastAsia" w:hAnsiTheme="minorEastAsia" w:eastAsiaTheme="minorEastAsia"/>
          <w:color w:val="000000" w:themeColor="text1"/>
          <w:sz w:val="28"/>
          <w:szCs w:val="28"/>
        </w:rPr>
        <w:t>：第</w:t>
      </w:r>
      <w:r>
        <w:rPr>
          <w:rFonts w:hint="eastAsia" w:asciiTheme="minorEastAsia" w:hAnsiTheme="minorEastAsia" w:eastAsiaTheme="minorEastAsia"/>
          <w:color w:val="000000" w:themeColor="text1"/>
          <w:position w:val="-6"/>
          <w:sz w:val="28"/>
          <w:szCs w:val="28"/>
        </w:rPr>
        <w:object>
          <v:shape id="_x0000_i1113" o:spt="75" type="#_x0000_t75" style="height:13.1pt;width:6.55pt;" o:ole="t" filled="f" o:preferrelative="t" stroked="f" coordsize="21600,21600">
            <v:path/>
            <v:fill on="f" focussize="0,0"/>
            <v:stroke on="f" joinstyle="miter"/>
            <v:imagedata r:id="rId203" o:title=""/>
            <o:lock v:ext="edit" aspectratio="t"/>
            <w10:wrap type="none"/>
            <w10:anchorlock/>
          </v:shape>
          <o:OLEObject Type="Embed" ProgID="Equation.3" ShapeID="_x0000_i1113" DrawAspect="Content" ObjectID="_1468075813" r:id="rId202">
            <o:LockedField>false</o:LockedField>
          </o:OLEObject>
        </w:object>
      </w:r>
      <w:r>
        <w:rPr>
          <w:rFonts w:hint="eastAsia" w:asciiTheme="minorEastAsia" w:hAnsiTheme="minorEastAsia" w:eastAsiaTheme="minorEastAsia"/>
          <w:color w:val="000000" w:themeColor="text1"/>
          <w:sz w:val="28"/>
          <w:szCs w:val="28"/>
        </w:rPr>
        <w:t>种预测方法对第</w:t>
      </w:r>
      <w:r>
        <w:rPr>
          <w:rFonts w:hint="eastAsia" w:asciiTheme="minorEastAsia" w:hAnsiTheme="minorEastAsia" w:eastAsiaTheme="minorEastAsia"/>
          <w:color w:val="000000" w:themeColor="text1"/>
          <w:position w:val="-10"/>
          <w:sz w:val="28"/>
          <w:szCs w:val="28"/>
        </w:rPr>
        <w:object>
          <v:shape id="_x0000_i1114" o:spt="75" type="#_x0000_t75" style="height:14.95pt;width:9.35pt;" o:ole="t" filled="f" o:preferrelative="t" stroked="f" coordsize="21600,21600">
            <v:path/>
            <v:fill on="f" focussize="0,0"/>
            <v:stroke on="f" joinstyle="miter"/>
            <v:imagedata r:id="rId205" o:title=""/>
            <o:lock v:ext="edit" aspectratio="t"/>
            <w10:wrap type="none"/>
            <w10:anchorlock/>
          </v:shape>
          <o:OLEObject Type="Embed" ProgID="Equation.3" ShapeID="_x0000_i1114" DrawAspect="Content" ObjectID="_1468075814" r:id="rId204">
            <o:LockedField>false</o:LockedField>
          </o:OLEObject>
        </w:object>
      </w:r>
      <w:r>
        <w:rPr>
          <w:rFonts w:hint="eastAsia" w:asciiTheme="minorEastAsia" w:hAnsiTheme="minorEastAsia" w:eastAsiaTheme="minorEastAsia"/>
          <w:color w:val="000000" w:themeColor="text1"/>
          <w:sz w:val="28"/>
          <w:szCs w:val="28"/>
        </w:rPr>
        <w:t>个数据的预测误差</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则有该组合预测的误差值的绝对平均值为：</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position w:val="-28"/>
          <w:sz w:val="28"/>
          <w:szCs w:val="28"/>
        </w:rPr>
        <w:object>
          <v:shape id="_x0000_i1115" o:spt="75" type="#_x0000_t75" style="height:33.65pt;width:123.45pt;" o:ole="t" filled="f" o:preferrelative="t" stroked="f" coordsize="21600,21600">
            <v:path/>
            <v:fill on="f" focussize="0,0"/>
            <v:stroke on="f" joinstyle="miter"/>
            <v:imagedata r:id="rId207" o:title=""/>
            <o:lock v:ext="edit" aspectratio="t"/>
            <w10:wrap type="none"/>
            <w10:anchorlock/>
          </v:shape>
          <o:OLEObject Type="Embed" ProgID="Equation.3" ShapeID="_x0000_i1115" DrawAspect="Content" ObjectID="_1468075815" r:id="rId206">
            <o:LockedField>false</o:LockedField>
          </o:OLEObject>
        </w:object>
      </w:r>
      <w:r>
        <w:rPr>
          <w:rFonts w:hint="eastAsia" w:asciiTheme="minorEastAsia" w:hAnsiTheme="minorEastAsia" w:eastAsiaTheme="minorEastAsia"/>
          <w:color w:val="000000" w:themeColor="text1"/>
          <w:sz w:val="28"/>
          <w:szCs w:val="28"/>
        </w:rPr>
        <w:t xml:space="preserve">             （1-</w:t>
      </w:r>
      <w:r>
        <w:rPr>
          <w:rFonts w:asciiTheme="minorEastAsia" w:hAnsiTheme="minorEastAsia" w:eastAsiaTheme="minorEastAsia"/>
          <w:color w:val="000000" w:themeColor="text1"/>
          <w:sz w:val="28"/>
          <w:szCs w:val="28"/>
        </w:rPr>
        <w:t>21</w:t>
      </w:r>
      <w:r>
        <w:rPr>
          <w:rFonts w:hint="eastAsia" w:asciiTheme="minorEastAsia" w:hAnsiTheme="minorEastAsia" w:eastAsiaTheme="minorEastAsia"/>
          <w:color w:val="000000" w:themeColor="text1"/>
          <w:sz w:val="28"/>
          <w:szCs w:val="28"/>
        </w:rPr>
        <w:t>）</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各单项预测方法对组合预测的影响程度，可通过总的平均误差进行初步研究，对于权重的确定，可以有多种方法，如等权重法、最小方差法、优势举证法、线性回归法等。</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基于</w:t>
      </w:r>
      <w:r>
        <w:rPr>
          <w:color w:val="000000" w:themeColor="text1"/>
          <w:kern w:val="0"/>
          <w:sz w:val="28"/>
        </w:rPr>
        <w:t>Shapley</w:t>
      </w:r>
      <w:r>
        <w:rPr>
          <w:rFonts w:hint="eastAsia"/>
          <w:color w:val="000000" w:themeColor="text1"/>
          <w:kern w:val="0"/>
          <w:sz w:val="28"/>
        </w:rPr>
        <w:t>值法的组合预测方法在组合预测中，其总误差来源于各种单项预测模型的相互作用，当各种单项预测模型一起参与预测时，它们之间就构成了合作关系。把组合预测的总误差</w:t>
      </w:r>
      <w:r>
        <w:rPr>
          <w:color w:val="000000" w:themeColor="text1"/>
          <w:kern w:val="0"/>
          <w:sz w:val="28"/>
        </w:rPr>
        <w:t>E</w:t>
      </w:r>
      <w:r>
        <w:rPr>
          <w:rFonts w:hint="eastAsia"/>
          <w:color w:val="000000" w:themeColor="text1"/>
          <w:kern w:val="0"/>
          <w:sz w:val="28"/>
        </w:rPr>
        <w:t>看作</w:t>
      </w:r>
      <w:r>
        <w:rPr>
          <w:color w:val="000000" w:themeColor="text1"/>
          <w:kern w:val="0"/>
          <w:sz w:val="28"/>
        </w:rPr>
        <w:t>Shapley</w:t>
      </w:r>
      <w:r>
        <w:rPr>
          <w:rFonts w:hint="eastAsia"/>
          <w:color w:val="000000" w:themeColor="text1"/>
          <w:kern w:val="0"/>
          <w:sz w:val="28"/>
        </w:rPr>
        <w:t>值法中总体合作的收益，利用上文提到的分配方法把总误差分配到各单项预测模型中，各单项预测模型的权重也因分配结果而确定。</w:t>
      </w:r>
      <w:r>
        <w:rPr>
          <w:color w:val="000000" w:themeColor="text1"/>
          <w:kern w:val="0"/>
          <w:sz w:val="28"/>
        </w:rPr>
        <w:t>Shapley</w:t>
      </w:r>
      <w:r>
        <w:rPr>
          <w:rFonts w:hint="eastAsia"/>
          <w:color w:val="000000" w:themeColor="text1"/>
          <w:kern w:val="0"/>
          <w:sz w:val="28"/>
        </w:rPr>
        <w:t>值法能较好地反映各个成员在某一种合作中的关键程度，此方法的优势表现在组织中的每一方均容易接受分配结果，存在一定的公平性和效益性。</w:t>
      </w:r>
      <w:r>
        <w:rPr>
          <w:color w:val="000000" w:themeColor="text1"/>
          <w:kern w:val="0"/>
          <w:sz w:val="28"/>
        </w:rPr>
        <w:t>Shapley</w:t>
      </w:r>
      <w:r>
        <w:rPr>
          <w:rFonts w:hint="eastAsia"/>
          <w:color w:val="000000" w:themeColor="text1"/>
          <w:kern w:val="0"/>
          <w:sz w:val="28"/>
        </w:rPr>
        <w:t>值误差分配公式为：</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kern w:val="0"/>
          <w:sz w:val="28"/>
          <w:szCs w:val="28"/>
        </w:rPr>
        <w:t xml:space="preserve"> </w:t>
      </w:r>
      <w:r>
        <w:rPr>
          <w:rFonts w:cs="宋体" w:asciiTheme="minorEastAsia" w:hAnsiTheme="minorEastAsia" w:eastAsiaTheme="minorEastAsia"/>
          <w:color w:val="000000" w:themeColor="text1"/>
          <w:kern w:val="0"/>
          <w:sz w:val="28"/>
          <w:szCs w:val="28"/>
        </w:rPr>
        <w:t xml:space="preserve">   </w:t>
      </w:r>
      <w:r>
        <w:rPr>
          <w:rFonts w:hint="eastAsia" w:cs="宋体" w:asciiTheme="minorEastAsia" w:hAnsiTheme="minorEastAsia" w:eastAsiaTheme="minorEastAsia"/>
          <w:color w:val="000000" w:themeColor="text1"/>
          <w:kern w:val="0"/>
          <w:sz w:val="28"/>
          <w:szCs w:val="28"/>
        </w:rPr>
        <w:t xml:space="preserve"> </w:t>
      </w:r>
      <w:r>
        <w:rPr>
          <w:rFonts w:hint="eastAsia" w:cs="宋体" w:asciiTheme="minorEastAsia" w:hAnsiTheme="minorEastAsia" w:eastAsiaTheme="minorEastAsia"/>
          <w:color w:val="000000" w:themeColor="text1"/>
          <w:kern w:val="0"/>
          <w:position w:val="-28"/>
          <w:sz w:val="28"/>
          <w:szCs w:val="28"/>
        </w:rPr>
        <w:object>
          <v:shape id="_x0000_i1116" o:spt="75" type="#_x0000_t75" style="height:27.1pt;width:195.45pt;" o:ole="t" filled="f" o:preferrelative="t" stroked="f" coordsize="21600,21600">
            <v:path/>
            <v:fill on="f" focussize="0,0"/>
            <v:stroke on="f" joinstyle="miter"/>
            <v:imagedata r:id="rId209" o:title=""/>
            <o:lock v:ext="edit" aspectratio="t"/>
            <w10:wrap type="none"/>
            <w10:anchorlock/>
          </v:shape>
          <o:OLEObject Type="Embed" ProgID="Equation.3" ShapeID="_x0000_i1116" DrawAspect="Content" ObjectID="_1468075816" r:id="rId208">
            <o:LockedField>false</o:LockedField>
          </o:OLEObject>
        </w:object>
      </w:r>
      <w:r>
        <w:rPr>
          <w:rFonts w:hint="eastAsia" w:cs="宋体" w:asciiTheme="minorEastAsia" w:hAnsiTheme="minorEastAsia" w:eastAsiaTheme="minorEastAsia"/>
          <w:color w:val="000000" w:themeColor="text1"/>
          <w:kern w:val="0"/>
          <w:sz w:val="28"/>
          <w:szCs w:val="28"/>
        </w:rPr>
        <w:t xml:space="preserve">            </w:t>
      </w:r>
      <w:r>
        <w:rPr>
          <w:rFonts w:cs="宋体" w:asciiTheme="minorEastAsia" w:hAnsiTheme="minorEastAsia" w:eastAsiaTheme="minorEastAsia"/>
          <w:color w:val="000000" w:themeColor="text1"/>
          <w:kern w:val="0"/>
          <w:sz w:val="28"/>
          <w:szCs w:val="28"/>
        </w:rPr>
        <w:t xml:space="preserve">  </w:t>
      </w:r>
      <w:r>
        <w:rPr>
          <w:rFonts w:hint="eastAsia" w:asciiTheme="minorEastAsia" w:hAnsiTheme="minorEastAsia" w:eastAsiaTheme="minorEastAsia"/>
          <w:color w:val="000000" w:themeColor="text1"/>
          <w:sz w:val="28"/>
          <w:szCs w:val="28"/>
        </w:rPr>
        <w:t>（1-2</w:t>
      </w:r>
      <w:r>
        <w:rPr>
          <w:rFonts w:asciiTheme="minorEastAsia" w:hAnsiTheme="minorEastAsia" w:eastAsiaTheme="minorEastAsia"/>
          <w:color w:val="000000" w:themeColor="text1"/>
          <w:sz w:val="28"/>
          <w:szCs w:val="28"/>
        </w:rPr>
        <w:t>2</w:t>
      </w:r>
      <w:r>
        <w:rPr>
          <w:rFonts w:hint="eastAsia" w:asciiTheme="minorEastAsia" w:hAnsiTheme="minorEastAsia" w:eastAsiaTheme="minorEastAsia"/>
          <w:color w:val="000000" w:themeColor="text1"/>
          <w:sz w:val="28"/>
          <w:szCs w:val="28"/>
        </w:rPr>
        <w:t>）</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6"/>
          <w:sz w:val="28"/>
          <w:szCs w:val="28"/>
        </w:rPr>
        <w:object>
          <v:shape id="_x0000_i1117" o:spt="75" type="#_x0000_t75" style="height:13.1pt;width:6.55pt;" o:ole="t" filled="f" o:preferrelative="t" stroked="f" coordsize="21600,21600">
            <v:path/>
            <v:fill on="f" focussize="0,0"/>
            <v:stroke on="f" joinstyle="miter"/>
            <v:imagedata r:id="rId211" o:title=""/>
            <o:lock v:ext="edit" aspectratio="t"/>
            <w10:wrap type="none"/>
            <w10:anchorlock/>
          </v:shape>
          <o:OLEObject Type="Embed" ProgID="Equation.3" ShapeID="_x0000_i1117" DrawAspect="Content" ObjectID="_1468075817" r:id="rId210">
            <o:LockedField>false</o:LockedField>
          </o:OLEObject>
        </w:object>
      </w:r>
      <w:r>
        <w:rPr>
          <w:rFonts w:hint="eastAsia" w:asciiTheme="minorEastAsia" w:hAnsiTheme="minorEastAsia" w:eastAsiaTheme="minorEastAsia"/>
          <w:color w:val="000000" w:themeColor="text1"/>
          <w:sz w:val="28"/>
          <w:szCs w:val="28"/>
        </w:rPr>
        <w:t>：表示组合中的第</w:t>
      </w:r>
      <w:r>
        <w:rPr>
          <w:rFonts w:hint="eastAsia" w:asciiTheme="minorEastAsia" w:hAnsiTheme="minorEastAsia" w:eastAsiaTheme="minorEastAsia"/>
          <w:color w:val="000000" w:themeColor="text1"/>
          <w:position w:val="-6"/>
          <w:sz w:val="28"/>
          <w:szCs w:val="28"/>
        </w:rPr>
        <w:object>
          <v:shape id="_x0000_i1118" o:spt="75" type="#_x0000_t75" style="height:13.1pt;width:6.55pt;" o:ole="t" filled="f" o:preferrelative="t" stroked="f" coordsize="21600,21600">
            <v:path/>
            <v:fill on="f" focussize="0,0"/>
            <v:stroke on="f" joinstyle="miter"/>
            <v:imagedata r:id="rId213" o:title=""/>
            <o:lock v:ext="edit" aspectratio="t"/>
            <w10:wrap type="none"/>
            <w10:anchorlock/>
          </v:shape>
          <o:OLEObject Type="Embed" ProgID="Equation.3" ShapeID="_x0000_i1118" DrawAspect="Content" ObjectID="_1468075818" r:id="rId212">
            <o:LockedField>false</o:LockedField>
          </o:OLEObject>
        </w:object>
      </w:r>
      <w:r>
        <w:rPr>
          <w:rFonts w:hint="eastAsia" w:asciiTheme="minorEastAsia" w:hAnsiTheme="minorEastAsia" w:eastAsiaTheme="minorEastAsia"/>
          <w:color w:val="000000" w:themeColor="text1"/>
          <w:sz w:val="28"/>
          <w:szCs w:val="28"/>
        </w:rPr>
        <w:t>中预测模型</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2"/>
          <w:sz w:val="28"/>
          <w:szCs w:val="28"/>
        </w:rPr>
        <w:object>
          <v:shape id="_x0000_i1119" o:spt="75" type="#_x0000_t75" style="height:18.7pt;width:14.05pt;" o:ole="t" filled="f" o:preferrelative="t" stroked="f" coordsize="21600,21600">
            <v:path/>
            <v:fill on="f" focussize="0,0"/>
            <v:stroke on="f" joinstyle="miter"/>
            <v:imagedata r:id="rId215" o:title=""/>
            <o:lock v:ext="edit" aspectratio="t"/>
            <w10:wrap type="none"/>
            <w10:anchorlock/>
          </v:shape>
          <o:OLEObject Type="Embed" ProgID="Equation.3" ShapeID="_x0000_i1119" DrawAspect="Content" ObjectID="_1468075819" r:id="rId214">
            <o:LockedField>false</o:LockedField>
          </o:OLEObject>
        </w:object>
      </w:r>
      <w:r>
        <w:rPr>
          <w:rFonts w:hint="eastAsia" w:asciiTheme="minorEastAsia" w:hAnsiTheme="minorEastAsia" w:eastAsiaTheme="minorEastAsia"/>
          <w:color w:val="000000" w:themeColor="text1"/>
          <w:sz w:val="28"/>
          <w:szCs w:val="28"/>
        </w:rPr>
        <w:t>：表示第</w:t>
      </w:r>
      <w:r>
        <w:rPr>
          <w:rFonts w:hint="eastAsia" w:asciiTheme="minorEastAsia" w:hAnsiTheme="minorEastAsia" w:eastAsiaTheme="minorEastAsia"/>
          <w:color w:val="000000" w:themeColor="text1"/>
          <w:position w:val="-6"/>
          <w:sz w:val="28"/>
          <w:szCs w:val="28"/>
        </w:rPr>
        <w:object>
          <v:shape id="_x0000_i1120" o:spt="75" type="#_x0000_t75" style="height:13.1pt;width:6.55pt;" o:ole="t" filled="f" o:preferrelative="t" stroked="f" coordsize="21600,21600">
            <v:path/>
            <v:fill on="f" focussize="0,0"/>
            <v:stroke on="f" joinstyle="miter"/>
            <v:imagedata r:id="rId217" o:title=""/>
            <o:lock v:ext="edit" aspectratio="t"/>
            <w10:wrap type="none"/>
            <w10:anchorlock/>
          </v:shape>
          <o:OLEObject Type="Embed" ProgID="Equation.3" ShapeID="_x0000_i1120" DrawAspect="Content" ObjectID="_1468075820" r:id="rId216">
            <o:LockedField>false</o:LockedField>
          </o:OLEObject>
        </w:object>
      </w:r>
      <w:r>
        <w:rPr>
          <w:rFonts w:hint="eastAsia" w:asciiTheme="minorEastAsia" w:hAnsiTheme="minorEastAsia" w:eastAsiaTheme="minorEastAsia"/>
          <w:color w:val="000000" w:themeColor="text1"/>
          <w:sz w:val="28"/>
          <w:szCs w:val="28"/>
        </w:rPr>
        <w:t>个预测模型的 Shapley值。也就是所分摊的误差</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6"/>
          <w:sz w:val="28"/>
          <w:szCs w:val="28"/>
        </w:rPr>
        <w:object>
          <v:shape id="_x0000_i1121" o:spt="75" type="#_x0000_t75" style="height:13.1pt;width:9.35pt;" o:ole="t" filled="f" o:preferrelative="t" stroked="f" coordsize="21600,21600">
            <v:path/>
            <v:fill on="f" focussize="0,0"/>
            <v:stroke on="f" joinstyle="miter"/>
            <v:imagedata r:id="rId219" o:title=""/>
            <o:lock v:ext="edit" aspectratio="t"/>
            <w10:wrap type="none"/>
            <w10:anchorlock/>
          </v:shape>
          <o:OLEObject Type="Embed" ProgID="Equation.3" ShapeID="_x0000_i1121" DrawAspect="Content" ObjectID="_1468075821" r:id="rId218">
            <o:LockedField>false</o:LockedField>
          </o:OLEObject>
        </w:object>
      </w:r>
      <w:r>
        <w:rPr>
          <w:rFonts w:hint="eastAsia" w:asciiTheme="minorEastAsia" w:hAnsiTheme="minorEastAsia" w:eastAsiaTheme="minorEastAsia"/>
          <w:color w:val="000000" w:themeColor="text1"/>
          <w:sz w:val="28"/>
          <w:szCs w:val="28"/>
        </w:rPr>
        <w:t>：表示包含预测模型</w:t>
      </w:r>
      <w:r>
        <w:rPr>
          <w:rFonts w:hint="eastAsia" w:asciiTheme="minorEastAsia" w:hAnsiTheme="minorEastAsia" w:eastAsiaTheme="minorEastAsia"/>
          <w:color w:val="000000" w:themeColor="text1"/>
          <w:position w:val="-6"/>
          <w:sz w:val="28"/>
          <w:szCs w:val="28"/>
        </w:rPr>
        <w:object>
          <v:shape id="_x0000_i1122" o:spt="75" type="#_x0000_t75" style="height:13.1pt;width:6.55pt;" o:ole="t" filled="f" o:preferrelative="t" stroked="f" coordsize="21600,21600">
            <v:path/>
            <v:fill on="f" focussize="0,0"/>
            <v:stroke on="f" joinstyle="miter"/>
            <v:imagedata r:id="rId221" o:title=""/>
            <o:lock v:ext="edit" aspectratio="t"/>
            <w10:wrap type="none"/>
            <w10:anchorlock/>
          </v:shape>
          <o:OLEObject Type="Embed" ProgID="Equation.3" ShapeID="_x0000_i1122" DrawAspect="Content" ObjectID="_1468075822" r:id="rId220">
            <o:LockedField>false</o:LockedField>
          </o:OLEObject>
        </w:object>
      </w:r>
      <w:r>
        <w:rPr>
          <w:rFonts w:hint="eastAsia" w:asciiTheme="minorEastAsia" w:hAnsiTheme="minorEastAsia" w:eastAsiaTheme="minorEastAsia"/>
          <w:color w:val="000000" w:themeColor="text1"/>
          <w:sz w:val="28"/>
          <w:szCs w:val="28"/>
        </w:rPr>
        <w:t>的组合</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4"/>
          <w:sz w:val="28"/>
          <w:szCs w:val="28"/>
        </w:rPr>
        <w:object>
          <v:shape id="_x0000_i1123" o:spt="75" type="#_x0000_t75" style="height:20.55pt;width:12.15pt;" o:ole="t" filled="f" o:preferrelative="t" stroked="f" coordsize="21600,21600">
            <v:path/>
            <v:fill on="f" focussize="0,0"/>
            <v:stroke on="f" joinstyle="miter"/>
            <v:imagedata r:id="rId223" o:title=""/>
            <o:lock v:ext="edit" aspectratio="t"/>
            <w10:wrap type="none"/>
            <w10:anchorlock/>
          </v:shape>
          <o:OLEObject Type="Embed" ProgID="Equation.3" ShapeID="_x0000_i1123" DrawAspect="Content" ObjectID="_1468075823" r:id="rId222">
            <o:LockedField>false</o:LockedField>
          </o:OLEObject>
        </w:object>
      </w:r>
      <w:r>
        <w:rPr>
          <w:rFonts w:hint="eastAsia" w:asciiTheme="minorEastAsia" w:hAnsiTheme="minorEastAsia" w:eastAsiaTheme="minorEastAsia"/>
          <w:color w:val="000000" w:themeColor="text1"/>
          <w:sz w:val="28"/>
          <w:szCs w:val="28"/>
        </w:rPr>
        <w:t>：表示组合中预测模型的个数</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6"/>
          <w:sz w:val="28"/>
          <w:szCs w:val="28"/>
        </w:rPr>
        <w:object>
          <v:shape id="_x0000_i1124" o:spt="75" type="#_x0000_t75" style="height:14.05pt;width:20.55pt;" o:ole="t" filled="f" o:preferrelative="t" stroked="f" coordsize="21600,21600">
            <v:path/>
            <v:fill on="f" focussize="0,0"/>
            <v:stroke on="f" joinstyle="miter"/>
            <v:imagedata r:id="rId225" o:title=""/>
            <o:lock v:ext="edit" aspectratio="t"/>
            <w10:wrap type="none"/>
            <w10:anchorlock/>
          </v:shape>
          <o:OLEObject Type="Embed" ProgID="Equation.3" ShapeID="_x0000_i1124" DrawAspect="Content" ObjectID="_1468075824" r:id="rId224">
            <o:LockedField>false</o:LockedField>
          </o:OLEObject>
        </w:object>
      </w:r>
      <w:r>
        <w:rPr>
          <w:rFonts w:hint="eastAsia" w:asciiTheme="minorEastAsia" w:hAnsiTheme="minorEastAsia" w:eastAsiaTheme="minorEastAsia"/>
          <w:color w:val="000000" w:themeColor="text1"/>
          <w:sz w:val="28"/>
          <w:szCs w:val="28"/>
        </w:rPr>
        <w:t>：表示在组合中排除模型</w:t>
      </w:r>
      <w:r>
        <w:rPr>
          <w:rFonts w:hint="eastAsia" w:asciiTheme="minorEastAsia" w:hAnsiTheme="minorEastAsia" w:eastAsiaTheme="minorEastAsia"/>
          <w:color w:val="000000" w:themeColor="text1"/>
          <w:position w:val="-6"/>
          <w:sz w:val="28"/>
          <w:szCs w:val="28"/>
        </w:rPr>
        <w:object>
          <v:shape id="_x0000_i1125" o:spt="75" type="#_x0000_t75" style="height:13.1pt;width:6.55pt;" o:ole="t" filled="f" o:preferrelative="t" stroked="f" coordsize="21600,21600">
            <v:path/>
            <v:fill on="f" focussize="0,0"/>
            <v:stroke on="f" joinstyle="miter"/>
            <v:imagedata r:id="rId227" o:title=""/>
            <o:lock v:ext="edit" aspectratio="t"/>
            <w10:wrap type="none"/>
            <w10:anchorlock/>
          </v:shape>
          <o:OLEObject Type="Embed" ProgID="Equation.3" ShapeID="_x0000_i1125" DrawAspect="Content" ObjectID="_1468075825" r:id="rId226">
            <o:LockedField>false</o:LockedField>
          </o:OLEObject>
        </w:objec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Shapley值法给出了一个</w:t>
      </w:r>
      <w:r>
        <w:rPr>
          <w:rFonts w:hint="eastAsia" w:asciiTheme="minorEastAsia" w:hAnsiTheme="minorEastAsia" w:eastAsiaTheme="minorEastAsia"/>
          <w:color w:val="000000" w:themeColor="text1"/>
          <w:position w:val="-6"/>
          <w:sz w:val="28"/>
          <w:szCs w:val="28"/>
        </w:rPr>
        <w:object>
          <v:shape id="_x0000_i1126" o:spt="75" type="#_x0000_t75" style="height:11.2pt;width:9.35pt;" o:ole="t" filled="f" o:preferrelative="t" stroked="f" coordsize="21600,21600">
            <v:path/>
            <v:fill on="f" focussize="0,0"/>
            <v:stroke on="f" joinstyle="miter"/>
            <v:imagedata r:id="rId229" o:title=""/>
            <o:lock v:ext="edit" aspectratio="t"/>
            <w10:wrap type="none"/>
            <w10:anchorlock/>
          </v:shape>
          <o:OLEObject Type="Embed" ProgID="Equation.3" ShapeID="_x0000_i1126" DrawAspect="Content" ObjectID="_1468075826" r:id="rId228">
            <o:LockedField>false</o:LockedField>
          </o:OLEObject>
        </w:object>
      </w:r>
      <w:r>
        <w:rPr>
          <w:rFonts w:hint="eastAsia" w:asciiTheme="minorEastAsia" w:hAnsiTheme="minorEastAsia" w:eastAsiaTheme="minorEastAsia"/>
          <w:color w:val="000000" w:themeColor="text1"/>
          <w:sz w:val="28"/>
          <w:szCs w:val="28"/>
        </w:rPr>
        <w:t>人合作对策问题的分配向量，</w:t>
      </w:r>
      <w:r>
        <w:rPr>
          <w:rFonts w:hint="eastAsia" w:asciiTheme="minorEastAsia" w:hAnsiTheme="minorEastAsia" w:eastAsiaTheme="minorEastAsia"/>
          <w:color w:val="000000" w:themeColor="text1"/>
          <w:position w:val="-10"/>
          <w:sz w:val="28"/>
          <w:szCs w:val="28"/>
        </w:rPr>
        <w:object>
          <v:shape id="_x0000_i1127" o:spt="75" type="#_x0000_t75" style="height:16.85pt;width:62.65pt;" o:ole="t" filled="f" o:preferrelative="t" stroked="f" coordsize="21600,21600">
            <v:path/>
            <v:fill on="f" focussize="0,0"/>
            <v:stroke on="f" joinstyle="miter"/>
            <v:imagedata r:id="rId231" o:title=""/>
            <o:lock v:ext="edit" aspectratio="t"/>
            <w10:wrap type="none"/>
            <w10:anchorlock/>
          </v:shape>
          <o:OLEObject Type="Embed" ProgID="Equation.3" ShapeID="_x0000_i1127" DrawAspect="Content" ObjectID="_1468075827" r:id="rId230">
            <o:LockedField>false</o:LockedField>
          </o:OLEObject>
        </w:object>
      </w:r>
      <w:r>
        <w:rPr>
          <w:rFonts w:hint="eastAsia" w:asciiTheme="minorEastAsia" w:hAnsiTheme="minorEastAsia" w:eastAsiaTheme="minorEastAsia"/>
          <w:color w:val="000000" w:themeColor="text1"/>
          <w:sz w:val="28"/>
          <w:szCs w:val="28"/>
        </w:rPr>
        <w:t>表示组合</w:t>
      </w:r>
      <w:r>
        <w:rPr>
          <w:rFonts w:hint="eastAsia" w:asciiTheme="minorEastAsia" w:hAnsiTheme="minorEastAsia" w:eastAsiaTheme="minorEastAsia"/>
          <w:color w:val="000000" w:themeColor="text1"/>
          <w:position w:val="-6"/>
          <w:sz w:val="28"/>
          <w:szCs w:val="28"/>
        </w:rPr>
        <w:object>
          <v:shape id="_x0000_i1128" o:spt="75" type="#_x0000_t75" style="height:14.05pt;width:11.2pt;" o:ole="t" filled="f" o:preferrelative="t" stroked="f" coordsize="21600,21600">
            <v:path/>
            <v:fill on="f" focussize="0,0"/>
            <v:stroke on="f" joinstyle="miter"/>
            <v:imagedata r:id="rId233" o:title=""/>
            <o:lock v:ext="edit" aspectratio="t"/>
            <w10:wrap type="none"/>
            <w10:anchorlock/>
          </v:shape>
          <o:OLEObject Type="Embed" ProgID="Equation.3" ShapeID="_x0000_i1128" DrawAspect="Content" ObjectID="_1468075828" r:id="rId232">
            <o:LockedField>false</o:LockedField>
          </o:OLEObject>
        </w:object>
      </w:r>
      <w:r>
        <w:rPr>
          <w:rFonts w:hint="eastAsia" w:asciiTheme="minorEastAsia" w:hAnsiTheme="minorEastAsia" w:eastAsiaTheme="minorEastAsia"/>
          <w:color w:val="000000" w:themeColor="text1"/>
          <w:sz w:val="28"/>
          <w:szCs w:val="28"/>
        </w:rPr>
        <w:t>的边际贡献值，考虑了组合成员加入后和加入前对组合产生不同的影响。</w:t>
      </w:r>
      <w:r>
        <w:rPr>
          <w:rFonts w:hint="eastAsia" w:asciiTheme="minorEastAsia" w:hAnsiTheme="minorEastAsia" w:eastAsiaTheme="minorEastAsia"/>
          <w:color w:val="000000" w:themeColor="text1"/>
          <w:position w:val="-6"/>
          <w:sz w:val="28"/>
          <w:szCs w:val="28"/>
        </w:rPr>
        <w:object>
          <v:shape id="_x0000_i1129" o:spt="75" type="#_x0000_t75" style="height:14.05pt;width:14.05pt;" o:ole="t" filled="f" o:preferrelative="t" stroked="f" coordsize="21600,21600">
            <v:path/>
            <v:fill on="f" focussize="0,0"/>
            <v:stroke on="f" joinstyle="miter"/>
            <v:imagedata r:id="rId235" o:title=""/>
            <o:lock v:ext="edit" aspectratio="t"/>
            <w10:wrap type="none"/>
            <w10:anchorlock/>
          </v:shape>
          <o:OLEObject Type="Embed" ProgID="Equation.3" ShapeID="_x0000_i1129" DrawAspect="Content" ObjectID="_1468075829" r:id="rId234">
            <o:LockedField>false</o:LockedField>
          </o:OLEObject>
        </w:object>
      </w:r>
      <w:r>
        <w:rPr>
          <w:rFonts w:hint="eastAsia" w:asciiTheme="minorEastAsia" w:hAnsiTheme="minorEastAsia" w:eastAsiaTheme="minorEastAsia"/>
          <w:color w:val="000000" w:themeColor="text1"/>
          <w:position w:val="-14"/>
          <w:sz w:val="28"/>
          <w:szCs w:val="28"/>
        </w:rPr>
        <w:object>
          <v:shape id="_x0000_i1130" o:spt="75" type="#_x0000_t75" style="height:20.55pt;width:18.7pt;" o:ole="t" filled="f" o:preferrelative="t" stroked="f" coordsize="21600,21600">
            <v:path/>
            <v:fill on="f" focussize="0,0"/>
            <v:stroke on="f" joinstyle="miter"/>
            <v:imagedata r:id="rId237" o:title=""/>
            <o:lock v:ext="edit" aspectratio="t"/>
            <w10:wrap type="none"/>
            <w10:anchorlock/>
          </v:shape>
          <o:OLEObject Type="Embed" ProgID="Equation.3" ShapeID="_x0000_i1130" DrawAspect="Content" ObjectID="_1468075830" r:id="rId236">
            <o:LockedField>false</o:LockedField>
          </o:OLEObject>
        </w:object>
      </w:r>
      <w:r>
        <w:rPr>
          <w:rFonts w:hint="eastAsia" w:asciiTheme="minorEastAsia" w:hAnsiTheme="minorEastAsia" w:eastAsiaTheme="minorEastAsia"/>
          <w:color w:val="000000" w:themeColor="text1"/>
          <w:sz w:val="28"/>
          <w:szCs w:val="28"/>
        </w:rPr>
        <w:t>可看作一个权重，表示组合成员</w:t>
      </w:r>
      <w:r>
        <w:rPr>
          <w:rFonts w:hint="eastAsia" w:asciiTheme="minorEastAsia" w:hAnsiTheme="minorEastAsia" w:eastAsiaTheme="minorEastAsia"/>
          <w:color w:val="000000" w:themeColor="text1"/>
          <w:position w:val="-6"/>
          <w:sz w:val="28"/>
          <w:szCs w:val="28"/>
        </w:rPr>
        <w:object>
          <v:shape id="_x0000_i1131" o:spt="75" type="#_x0000_t75" style="height:13.1pt;width:6.55pt;" o:ole="t" filled="f" o:preferrelative="t" stroked="f" coordsize="21600,21600">
            <v:path/>
            <v:fill on="f" focussize="0,0"/>
            <v:stroke on="f" joinstyle="miter"/>
            <v:imagedata r:id="rId239" o:title=""/>
            <o:lock v:ext="edit" aspectratio="t"/>
            <w10:wrap type="none"/>
            <w10:anchorlock/>
          </v:shape>
          <o:OLEObject Type="Embed" ProgID="Equation.3" ShapeID="_x0000_i1131" DrawAspect="Content" ObjectID="_1468075831" r:id="rId238">
            <o:LockedField>false</o:LockedField>
          </o:OLEObject>
        </w:object>
      </w:r>
      <w:r>
        <w:rPr>
          <w:rFonts w:hint="eastAsia" w:asciiTheme="minorEastAsia" w:hAnsiTheme="minorEastAsia" w:eastAsiaTheme="minorEastAsia"/>
          <w:color w:val="000000" w:themeColor="text1"/>
          <w:sz w:val="28"/>
          <w:szCs w:val="28"/>
        </w:rPr>
        <w:t>在组合中所需要承担的边际贡献，也是组合预测的加权因子。Shapley值综合了组织中各成员的影响，因此可认为其分配向量是公平合理的。</w:t>
      </w: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由上可得权重计算公式：</w:t>
      </w:r>
    </w:p>
    <w:p>
      <w:pPr>
        <w:spacing w:before="0" w:after="0" w:line="360" w:lineRule="auto"/>
        <w:ind w:left="0" w:firstLine="2520" w:firstLineChars="9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24"/>
          <w:sz w:val="28"/>
          <w:szCs w:val="28"/>
        </w:rPr>
        <w:object>
          <v:shape id="_x0000_i1132" o:spt="75" type="#_x0000_t75" style="height:32.75pt;width:84.15pt;" o:ole="t" filled="f" o:preferrelative="t" stroked="f" coordsize="21600,21600">
            <v:path/>
            <v:fill on="f" focussize="0,0"/>
            <v:stroke on="f" joinstyle="miter"/>
            <v:imagedata r:id="rId241" o:title=""/>
            <o:lock v:ext="edit" aspectratio="t"/>
            <w10:wrap type="none"/>
            <w10:anchorlock/>
          </v:shape>
          <o:OLEObject Type="Embed" ProgID="Equation.3" ShapeID="_x0000_i1132" DrawAspect="Content" ObjectID="_1468075832" r:id="rId240">
            <o:LockedField>false</o:LockedField>
          </o:OLEObject>
        </w:objec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23</w:t>
      </w:r>
      <w:r>
        <w:rPr>
          <w:rFonts w:hint="eastAsia" w:asciiTheme="minorEastAsia" w:hAnsiTheme="minorEastAsia" w:eastAsiaTheme="minorEastAsia"/>
          <w:color w:val="000000" w:themeColor="text1"/>
          <w:sz w:val="28"/>
          <w:szCs w:val="28"/>
        </w:rPr>
        <w:t>）</w:t>
      </w:r>
    </w:p>
    <w:p>
      <w:pPr>
        <w:pStyle w:val="3"/>
        <w:jc w:val="left"/>
        <w:rPr>
          <w:rFonts w:ascii="Times New Roman" w:hAnsi="Times New Roman"/>
          <w:color w:val="000000" w:themeColor="text1"/>
        </w:rPr>
      </w:pPr>
      <w:bookmarkStart w:id="56" w:name="_Toc528526476"/>
      <w:r>
        <w:rPr>
          <w:rFonts w:hint="eastAsia" w:ascii="Times New Roman" w:hAnsi="Times New Roman"/>
          <w:color w:val="000000" w:themeColor="text1"/>
        </w:rPr>
        <w:t>1.3 快递业务量预测</w:t>
      </w:r>
      <w:bookmarkEnd w:id="56"/>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1.3.1多元线性回归模型</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color w:val="000000" w:themeColor="text1"/>
          <w:kern w:val="0"/>
          <w:sz w:val="28"/>
        </w:rPr>
        <w:t>本规划选用</w:t>
      </w:r>
      <w:r>
        <w:rPr>
          <w:rFonts w:hint="eastAsia"/>
          <w:color w:val="000000" w:themeColor="text1"/>
          <w:kern w:val="0"/>
          <w:sz w:val="28"/>
        </w:rPr>
        <w:t>spss19.0对表1-</w:t>
      </w:r>
      <w:r>
        <w:rPr>
          <w:color w:val="000000" w:themeColor="text1"/>
          <w:kern w:val="0"/>
          <w:sz w:val="28"/>
        </w:rPr>
        <w:t>2的数据进行多元线性回归分析</w:t>
      </w:r>
      <w:r>
        <w:rPr>
          <w:rFonts w:hint="eastAsia"/>
          <w:color w:val="000000" w:themeColor="text1"/>
          <w:kern w:val="0"/>
          <w:sz w:val="28"/>
        </w:rPr>
        <w:t>。</w:t>
      </w:r>
      <w:r>
        <w:rPr>
          <w:color w:val="000000" w:themeColor="text1"/>
          <w:kern w:val="0"/>
          <w:sz w:val="28"/>
        </w:rPr>
        <w:t>具体结果如下</w:t>
      </w:r>
      <w:r>
        <w:rPr>
          <w:rFonts w:hint="eastAsia"/>
          <w:color w:val="000000" w:themeColor="text1"/>
          <w:kern w:val="0"/>
          <w:sz w:val="28"/>
        </w:rPr>
        <w:t>。</w:t>
      </w:r>
    </w:p>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2   2011</w:t>
      </w:r>
      <w:r>
        <w:rPr>
          <w:rFonts w:hint="eastAsia" w:asciiTheme="minorEastAsia" w:hAnsiTheme="minorEastAsia" w:eastAsiaTheme="minorEastAsia"/>
          <w:b/>
          <w:color w:val="000000" w:themeColor="text1"/>
          <w:sz w:val="24"/>
          <w:szCs w:val="24"/>
        </w:rPr>
        <w:t>-</w:t>
      </w:r>
      <w:r>
        <w:rPr>
          <w:rFonts w:asciiTheme="minorEastAsia" w:hAnsiTheme="minorEastAsia" w:eastAsiaTheme="minorEastAsia"/>
          <w:b/>
          <w:color w:val="000000" w:themeColor="text1"/>
          <w:sz w:val="24"/>
          <w:szCs w:val="24"/>
        </w:rPr>
        <w:t>2017年泉州台商投资区</w:t>
      </w:r>
      <w:r>
        <w:rPr>
          <w:rFonts w:hint="eastAsia" w:asciiTheme="minorEastAsia" w:hAnsiTheme="minorEastAsia" w:eastAsiaTheme="minorEastAsia"/>
          <w:b/>
          <w:color w:val="000000" w:themeColor="text1"/>
          <w:sz w:val="24"/>
          <w:szCs w:val="24"/>
        </w:rPr>
        <w:t>快递业务量相关指标数据</w:t>
      </w:r>
    </w:p>
    <w:tbl>
      <w:tblPr>
        <w:tblStyle w:val="18"/>
        <w:tblW w:w="862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000000" w:fill="auto"/>
        <w:tblLayout w:type="fixed"/>
        <w:tblCellMar>
          <w:top w:w="0" w:type="dxa"/>
          <w:left w:w="108" w:type="dxa"/>
          <w:bottom w:w="0" w:type="dxa"/>
          <w:right w:w="108" w:type="dxa"/>
        </w:tblCellMar>
      </w:tblPr>
      <w:tblGrid>
        <w:gridCol w:w="1333"/>
        <w:gridCol w:w="1333"/>
        <w:gridCol w:w="1332"/>
        <w:gridCol w:w="1592"/>
        <w:gridCol w:w="1702"/>
        <w:gridCol w:w="13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000000" w:fill="auto"/>
          <w:tblLayout w:type="fixed"/>
          <w:tblCellMar>
            <w:top w:w="0" w:type="dxa"/>
            <w:left w:w="108" w:type="dxa"/>
            <w:bottom w:w="0" w:type="dxa"/>
            <w:right w:w="108" w:type="dxa"/>
          </w:tblCellMar>
        </w:tblPrEx>
        <w:trPr>
          <w:trHeight w:val="784" w:hRule="atLeast"/>
        </w:trPr>
        <w:tc>
          <w:tcPr>
            <w:tcW w:w="1333" w:type="dxa"/>
            <w:shd w:val="clear" w:color="000000"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年份</w:t>
            </w:r>
          </w:p>
        </w:tc>
        <w:tc>
          <w:tcPr>
            <w:tcW w:w="1333" w:type="dxa"/>
            <w:tcBorders>
              <w:bottom w:val="single" w:color="auto" w:sz="4" w:space="0"/>
            </w:tcBorders>
            <w:shd w:val="clear" w:color="000000"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GDP（万元）</w:t>
            </w:r>
          </w:p>
        </w:tc>
        <w:tc>
          <w:tcPr>
            <w:tcW w:w="1332" w:type="dxa"/>
            <w:tcBorders>
              <w:bottom w:val="single" w:color="auto" w:sz="4" w:space="0"/>
            </w:tcBorders>
            <w:shd w:val="clear" w:color="000000"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常住人口（万人）</w:t>
            </w:r>
          </w:p>
        </w:tc>
        <w:tc>
          <w:tcPr>
            <w:tcW w:w="1592" w:type="dxa"/>
            <w:tcBorders>
              <w:bottom w:val="single" w:color="auto" w:sz="4" w:space="0"/>
            </w:tcBorders>
            <w:shd w:val="clear" w:color="000000"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居民人均消费水平(</w:t>
            </w:r>
            <w:r>
              <w:rPr>
                <w:rFonts w:ascii="Times New Roman" w:hAnsi="Times New Roman"/>
                <w:b/>
                <w:bCs/>
                <w:color w:val="000000" w:themeColor="text1"/>
                <w:kern w:val="0"/>
                <w:szCs w:val="22"/>
              </w:rPr>
              <w:t>元</w:t>
            </w:r>
            <w:r>
              <w:rPr>
                <w:rFonts w:hint="eastAsia" w:ascii="Times New Roman" w:hAnsi="Times New Roman"/>
                <w:b/>
                <w:bCs/>
                <w:color w:val="000000" w:themeColor="text1"/>
                <w:kern w:val="0"/>
                <w:szCs w:val="22"/>
              </w:rPr>
              <w:t>)</w:t>
            </w:r>
          </w:p>
        </w:tc>
        <w:tc>
          <w:tcPr>
            <w:tcW w:w="1702" w:type="dxa"/>
            <w:tcBorders>
              <w:bottom w:val="single" w:color="auto" w:sz="4" w:space="0"/>
            </w:tcBorders>
            <w:shd w:val="clear" w:color="000000"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社会消费品零售额（万元）</w:t>
            </w:r>
          </w:p>
        </w:tc>
        <w:tc>
          <w:tcPr>
            <w:tcW w:w="1332" w:type="dxa"/>
            <w:tcBorders>
              <w:bottom w:val="single" w:color="auto" w:sz="4" w:space="0"/>
            </w:tcBorders>
            <w:shd w:val="clear" w:color="000000"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快递业务量(万件)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6" w:hRule="atLeast"/>
        </w:trPr>
        <w:tc>
          <w:tcPr>
            <w:tcW w:w="1333" w:type="dxa"/>
            <w:tcBorders>
              <w:right w:val="single" w:color="auto" w:sz="4" w:space="0"/>
            </w:tcBorders>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2011</w:t>
            </w:r>
          </w:p>
        </w:tc>
        <w:tc>
          <w:tcPr>
            <w:tcW w:w="133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1426572</w:t>
            </w:r>
          </w:p>
        </w:tc>
        <w:tc>
          <w:tcPr>
            <w:tcW w:w="133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23.1</w:t>
            </w:r>
          </w:p>
        </w:tc>
        <w:tc>
          <w:tcPr>
            <w:tcW w:w="159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13937 </w:t>
            </w:r>
          </w:p>
        </w:tc>
        <w:tc>
          <w:tcPr>
            <w:tcW w:w="170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318349</w:t>
            </w:r>
          </w:p>
        </w:tc>
        <w:tc>
          <w:tcPr>
            <w:tcW w:w="133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199.71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6" w:hRule="atLeast"/>
        </w:trPr>
        <w:tc>
          <w:tcPr>
            <w:tcW w:w="1333" w:type="dxa"/>
            <w:tcBorders>
              <w:right w:val="single" w:color="auto" w:sz="4" w:space="0"/>
            </w:tcBorders>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2012</w:t>
            </w:r>
          </w:p>
        </w:tc>
        <w:tc>
          <w:tcPr>
            <w:tcW w:w="133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1573066</w:t>
            </w:r>
          </w:p>
        </w:tc>
        <w:tc>
          <w:tcPr>
            <w:tcW w:w="133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23.3</w:t>
            </w:r>
          </w:p>
        </w:tc>
        <w:tc>
          <w:tcPr>
            <w:tcW w:w="159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14969 </w:t>
            </w:r>
          </w:p>
        </w:tc>
        <w:tc>
          <w:tcPr>
            <w:tcW w:w="170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372150</w:t>
            </w:r>
          </w:p>
        </w:tc>
        <w:tc>
          <w:tcPr>
            <w:tcW w:w="133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295.75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6" w:hRule="atLeast"/>
        </w:trPr>
        <w:tc>
          <w:tcPr>
            <w:tcW w:w="1333" w:type="dxa"/>
            <w:tcBorders>
              <w:right w:val="single" w:color="auto" w:sz="4" w:space="0"/>
            </w:tcBorders>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2013</w:t>
            </w:r>
          </w:p>
        </w:tc>
        <w:tc>
          <w:tcPr>
            <w:tcW w:w="133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1789095</w:t>
            </w:r>
          </w:p>
        </w:tc>
        <w:tc>
          <w:tcPr>
            <w:tcW w:w="133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23.6</w:t>
            </w:r>
          </w:p>
        </w:tc>
        <w:tc>
          <w:tcPr>
            <w:tcW w:w="159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16076 </w:t>
            </w:r>
          </w:p>
        </w:tc>
        <w:tc>
          <w:tcPr>
            <w:tcW w:w="170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423134</w:t>
            </w:r>
          </w:p>
        </w:tc>
        <w:tc>
          <w:tcPr>
            <w:tcW w:w="133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440.38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6" w:hRule="atLeast"/>
        </w:trPr>
        <w:tc>
          <w:tcPr>
            <w:tcW w:w="1333" w:type="dxa"/>
            <w:tcBorders>
              <w:right w:val="single" w:color="auto" w:sz="4" w:space="0"/>
            </w:tcBorders>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2014</w:t>
            </w:r>
          </w:p>
        </w:tc>
        <w:tc>
          <w:tcPr>
            <w:tcW w:w="133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1967027</w:t>
            </w:r>
          </w:p>
        </w:tc>
        <w:tc>
          <w:tcPr>
            <w:tcW w:w="133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24.3</w:t>
            </w:r>
          </w:p>
        </w:tc>
        <w:tc>
          <w:tcPr>
            <w:tcW w:w="159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17266</w:t>
            </w:r>
          </w:p>
        </w:tc>
        <w:tc>
          <w:tcPr>
            <w:tcW w:w="170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453177</w:t>
            </w:r>
          </w:p>
        </w:tc>
        <w:tc>
          <w:tcPr>
            <w:tcW w:w="133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745.70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6" w:hRule="atLeast"/>
        </w:trPr>
        <w:tc>
          <w:tcPr>
            <w:tcW w:w="1333" w:type="dxa"/>
            <w:tcBorders>
              <w:right w:val="single" w:color="auto" w:sz="4" w:space="0"/>
            </w:tcBorders>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2015</w:t>
            </w:r>
          </w:p>
        </w:tc>
        <w:tc>
          <w:tcPr>
            <w:tcW w:w="133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2129127</w:t>
            </w:r>
          </w:p>
        </w:tc>
        <w:tc>
          <w:tcPr>
            <w:tcW w:w="133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24.9</w:t>
            </w:r>
          </w:p>
        </w:tc>
        <w:tc>
          <w:tcPr>
            <w:tcW w:w="159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18264</w:t>
            </w:r>
          </w:p>
        </w:tc>
        <w:tc>
          <w:tcPr>
            <w:tcW w:w="170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585286.4</w:t>
            </w:r>
          </w:p>
        </w:tc>
        <w:tc>
          <w:tcPr>
            <w:tcW w:w="133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1100.16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6" w:hRule="atLeast"/>
        </w:trPr>
        <w:tc>
          <w:tcPr>
            <w:tcW w:w="1333" w:type="dxa"/>
            <w:tcBorders>
              <w:right w:val="single" w:color="auto" w:sz="4" w:space="0"/>
            </w:tcBorders>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2016</w:t>
            </w:r>
          </w:p>
        </w:tc>
        <w:tc>
          <w:tcPr>
            <w:tcW w:w="133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2309062</w:t>
            </w:r>
          </w:p>
        </w:tc>
        <w:tc>
          <w:tcPr>
            <w:tcW w:w="133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25.2</w:t>
            </w:r>
          </w:p>
        </w:tc>
        <w:tc>
          <w:tcPr>
            <w:tcW w:w="159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19435</w:t>
            </w:r>
          </w:p>
        </w:tc>
        <w:tc>
          <w:tcPr>
            <w:tcW w:w="170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669772.6</w:t>
            </w:r>
          </w:p>
        </w:tc>
        <w:tc>
          <w:tcPr>
            <w:tcW w:w="133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1627.13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6" w:hRule="atLeast"/>
        </w:trPr>
        <w:tc>
          <w:tcPr>
            <w:tcW w:w="1333" w:type="dxa"/>
            <w:tcBorders>
              <w:right w:val="single" w:color="auto" w:sz="4" w:space="0"/>
            </w:tcBorders>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2017</w:t>
            </w:r>
          </w:p>
        </w:tc>
        <w:tc>
          <w:tcPr>
            <w:tcW w:w="133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2605400</w:t>
            </w:r>
          </w:p>
        </w:tc>
        <w:tc>
          <w:tcPr>
            <w:tcW w:w="133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25.6</w:t>
            </w:r>
          </w:p>
        </w:tc>
        <w:tc>
          <w:tcPr>
            <w:tcW w:w="159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20339</w:t>
            </w:r>
          </w:p>
        </w:tc>
        <w:tc>
          <w:tcPr>
            <w:tcW w:w="1702" w:type="dxa"/>
            <w:tcBorders>
              <w:top w:val="single" w:color="auto" w:sz="4" w:space="0"/>
              <w:left w:val="nil"/>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754679</w:t>
            </w:r>
          </w:p>
        </w:tc>
        <w:tc>
          <w:tcPr>
            <w:tcW w:w="133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2201.90 </w:t>
            </w:r>
          </w:p>
        </w:tc>
      </w:tr>
    </w:tbl>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通过表1-</w:t>
      </w:r>
      <w:r>
        <w:rPr>
          <w:color w:val="000000" w:themeColor="text1"/>
          <w:kern w:val="0"/>
          <w:sz w:val="28"/>
        </w:rPr>
        <w:t>3可以看出快递业务量与</w:t>
      </w:r>
      <w:r>
        <w:rPr>
          <w:rFonts w:hint="eastAsia"/>
          <w:color w:val="000000" w:themeColor="text1"/>
          <w:kern w:val="0"/>
          <w:sz w:val="28"/>
        </w:rPr>
        <w:t>GDP、常住人口、居民人均消费水平、社会消费品零售额相关性均在0.9以上，故显著相关。</w:t>
      </w:r>
    </w:p>
    <w:p>
      <w:pPr>
        <w:autoSpaceDE w:val="0"/>
        <w:autoSpaceDN w:val="0"/>
        <w:adjustRightInd w:val="0"/>
        <w:spacing w:before="0" w:after="0" w:line="360" w:lineRule="auto"/>
        <w:ind w:left="576" w:hanging="576" w:hangingChars="239"/>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 xml:space="preserve">3  </w:t>
      </w:r>
      <w:r>
        <w:rPr>
          <w:rFonts w:hint="eastAsia" w:asciiTheme="minorEastAsia" w:hAnsiTheme="minorEastAsia" w:eastAsiaTheme="minorEastAsia"/>
          <w:b/>
          <w:color w:val="000000" w:themeColor="text1"/>
          <w:sz w:val="24"/>
          <w:szCs w:val="24"/>
        </w:rPr>
        <w:t>相关性分析表</w:t>
      </w:r>
    </w:p>
    <w:tbl>
      <w:tblPr>
        <w:tblStyle w:val="18"/>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6"/>
        <w:gridCol w:w="2111"/>
        <w:gridCol w:w="1066"/>
        <w:gridCol w:w="897"/>
        <w:gridCol w:w="904"/>
        <w:gridCol w:w="1293"/>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2967" w:type="dxa"/>
            <w:gridSpan w:val="2"/>
            <w:shd w:val="clear" w:color="auto" w:fill="FFFFFF"/>
            <w:vAlign w:val="center"/>
          </w:tcPr>
          <w:p>
            <w:pPr>
              <w:spacing w:before="0" w:after="0" w:line="360" w:lineRule="auto"/>
              <w:ind w:left="0" w:firstLine="0"/>
              <w:jc w:val="center"/>
              <w:rPr>
                <w:rFonts w:asciiTheme="minorEastAsia" w:hAnsiTheme="minorEastAsia" w:eastAsiaTheme="minorEastAsia"/>
                <w:color w:val="000000" w:themeColor="text1"/>
                <w:kern w:val="0"/>
                <w:sz w:val="24"/>
                <w:szCs w:val="24"/>
              </w:rPr>
            </w:pPr>
          </w:p>
        </w:tc>
        <w:tc>
          <w:tcPr>
            <w:tcW w:w="1066" w:type="dxa"/>
            <w:shd w:val="clear" w:color="auto" w:fill="FFFFFF"/>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快递业务量</w:t>
            </w:r>
          </w:p>
        </w:tc>
        <w:tc>
          <w:tcPr>
            <w:tcW w:w="897" w:type="dxa"/>
            <w:shd w:val="clear" w:color="auto" w:fill="FFFFFF"/>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GDP</w:t>
            </w:r>
          </w:p>
        </w:tc>
        <w:tc>
          <w:tcPr>
            <w:tcW w:w="904" w:type="dxa"/>
            <w:shd w:val="clear" w:color="auto" w:fill="FFFFFF"/>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常住人口</w:t>
            </w:r>
          </w:p>
        </w:tc>
        <w:tc>
          <w:tcPr>
            <w:tcW w:w="1293" w:type="dxa"/>
            <w:shd w:val="clear" w:color="auto" w:fill="FFFFFF"/>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居民人均消费水平</w:t>
            </w:r>
          </w:p>
        </w:tc>
        <w:tc>
          <w:tcPr>
            <w:tcW w:w="1291" w:type="dxa"/>
            <w:shd w:val="clear" w:color="auto" w:fill="FFFFFF"/>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社会消费品零售额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restart"/>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Pearson </w:t>
            </w:r>
            <w:r>
              <w:rPr>
                <w:rFonts w:hint="eastAsia" w:ascii="Times New Roman" w:hAnsi="Times New Roman"/>
                <w:color w:val="000000" w:themeColor="text1"/>
                <w:sz w:val="24"/>
                <w:szCs w:val="24"/>
              </w:rPr>
              <w:t>相关性</w:t>
            </w: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快递业务量</w:t>
            </w:r>
          </w:p>
        </w:tc>
        <w:tc>
          <w:tcPr>
            <w:tcW w:w="1066"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1.000</w:t>
            </w:r>
          </w:p>
        </w:tc>
        <w:tc>
          <w:tcPr>
            <w:tcW w:w="897"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.976</w:t>
            </w:r>
          </w:p>
        </w:tc>
        <w:tc>
          <w:tcPr>
            <w:tcW w:w="904"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.964</w:t>
            </w:r>
          </w:p>
        </w:tc>
        <w:tc>
          <w:tcPr>
            <w:tcW w:w="1293"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.961</w:t>
            </w:r>
          </w:p>
        </w:tc>
        <w:tc>
          <w:tcPr>
            <w:tcW w:w="129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ascii="Times New Roman" w:hAnsi="Times New Roman"/>
                <w:color w:val="000000" w:themeColor="text1"/>
                <w:sz w:val="24"/>
                <w:szCs w:val="24"/>
              </w:rPr>
              <w:t>GDP</w:t>
            </w:r>
          </w:p>
        </w:tc>
        <w:tc>
          <w:tcPr>
            <w:tcW w:w="1066"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.976</w:t>
            </w:r>
          </w:p>
        </w:tc>
        <w:tc>
          <w:tcPr>
            <w:tcW w:w="897"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1.000</w:t>
            </w:r>
          </w:p>
        </w:tc>
        <w:tc>
          <w:tcPr>
            <w:tcW w:w="904"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.984</w:t>
            </w:r>
          </w:p>
        </w:tc>
        <w:tc>
          <w:tcPr>
            <w:tcW w:w="1293"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.994</w:t>
            </w:r>
          </w:p>
        </w:tc>
        <w:tc>
          <w:tcPr>
            <w:tcW w:w="129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常住人口</w:t>
            </w:r>
          </w:p>
        </w:tc>
        <w:tc>
          <w:tcPr>
            <w:tcW w:w="1066"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.964</w:t>
            </w:r>
          </w:p>
        </w:tc>
        <w:tc>
          <w:tcPr>
            <w:tcW w:w="897"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.984</w:t>
            </w:r>
          </w:p>
        </w:tc>
        <w:tc>
          <w:tcPr>
            <w:tcW w:w="904"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1.000</w:t>
            </w:r>
          </w:p>
        </w:tc>
        <w:tc>
          <w:tcPr>
            <w:tcW w:w="1293"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.990</w:t>
            </w:r>
          </w:p>
        </w:tc>
        <w:tc>
          <w:tcPr>
            <w:tcW w:w="129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居民人均消费水平</w:t>
            </w:r>
          </w:p>
        </w:tc>
        <w:tc>
          <w:tcPr>
            <w:tcW w:w="1066"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.961</w:t>
            </w:r>
          </w:p>
        </w:tc>
        <w:tc>
          <w:tcPr>
            <w:tcW w:w="897"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.994</w:t>
            </w:r>
          </w:p>
        </w:tc>
        <w:tc>
          <w:tcPr>
            <w:tcW w:w="904"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.990</w:t>
            </w:r>
          </w:p>
        </w:tc>
        <w:tc>
          <w:tcPr>
            <w:tcW w:w="1293"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1.000</w:t>
            </w:r>
          </w:p>
        </w:tc>
        <w:tc>
          <w:tcPr>
            <w:tcW w:w="129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社会消费品零售额</w:t>
            </w:r>
          </w:p>
        </w:tc>
        <w:tc>
          <w:tcPr>
            <w:tcW w:w="1066"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.986</w:t>
            </w:r>
          </w:p>
        </w:tc>
        <w:tc>
          <w:tcPr>
            <w:tcW w:w="897"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.984</w:t>
            </w:r>
          </w:p>
        </w:tc>
        <w:tc>
          <w:tcPr>
            <w:tcW w:w="904"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.980</w:t>
            </w:r>
          </w:p>
        </w:tc>
        <w:tc>
          <w:tcPr>
            <w:tcW w:w="1293"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.981</w:t>
            </w:r>
          </w:p>
        </w:tc>
        <w:tc>
          <w:tcPr>
            <w:tcW w:w="129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restart"/>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Sig.</w:t>
            </w:r>
          </w:p>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（单侧）</w:t>
            </w:r>
          </w:p>
        </w:tc>
        <w:tc>
          <w:tcPr>
            <w:tcW w:w="211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快递业务量</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GDP</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常住人口</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居民人均消费水平</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社会消费品零售额</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w:t>
            </w: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restart"/>
            <w:shd w:val="clear" w:color="auto" w:fill="FFFFFF"/>
            <w:vAlign w:val="center"/>
          </w:tcPr>
          <w:p>
            <w:pPr>
              <w:spacing w:before="0" w:after="0" w:line="360" w:lineRule="auto"/>
              <w:ind w:left="0" w:right="48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N</w:t>
            </w: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快递业务量</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right"/>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GDP</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right"/>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常住人口</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856" w:type="dxa"/>
            <w:vMerge w:val="continue"/>
            <w:shd w:val="clear" w:color="auto" w:fill="FFFFFF"/>
            <w:vAlign w:val="center"/>
          </w:tcPr>
          <w:p>
            <w:pPr>
              <w:spacing w:before="0" w:after="0" w:line="360" w:lineRule="auto"/>
              <w:ind w:left="0" w:firstLine="0"/>
              <w:jc w:val="right"/>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居民人均消费水平</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56" w:type="dxa"/>
            <w:vMerge w:val="continue"/>
            <w:shd w:val="clear" w:color="auto" w:fill="FFFFFF"/>
            <w:vAlign w:val="center"/>
          </w:tcPr>
          <w:p>
            <w:pPr>
              <w:spacing w:before="0" w:after="0" w:line="360" w:lineRule="auto"/>
              <w:ind w:left="0" w:firstLine="0"/>
              <w:jc w:val="right"/>
              <w:rPr>
                <w:rFonts w:ascii="Times New Roman" w:hAnsi="Times New Roman"/>
                <w:color w:val="000000" w:themeColor="text1"/>
                <w:sz w:val="24"/>
                <w:szCs w:val="24"/>
              </w:rPr>
            </w:pPr>
          </w:p>
        </w:tc>
        <w:tc>
          <w:tcPr>
            <w:tcW w:w="2111"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社会消费品零售额</w:t>
            </w:r>
          </w:p>
        </w:tc>
        <w:tc>
          <w:tcPr>
            <w:tcW w:w="106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897"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904"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91"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r>
    </w:tbl>
    <w:p>
      <w:pPr>
        <w:widowControl/>
        <w:spacing w:before="0" w:after="0" w:line="240" w:lineRule="auto"/>
        <w:ind w:left="0" w:firstLine="0"/>
        <w:jc w:val="left"/>
        <w:rPr>
          <w:rFonts w:asciiTheme="minorEastAsia" w:hAnsiTheme="minorEastAsia" w:eastAsiaTheme="minorEastAsia"/>
          <w:b/>
          <w:color w:val="000000" w:themeColor="text1"/>
          <w:sz w:val="24"/>
          <w:szCs w:val="24"/>
        </w:rPr>
      </w:pPr>
    </w:p>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表1-</w:t>
      </w:r>
      <w:r>
        <w:rPr>
          <w:rFonts w:asciiTheme="minorEastAsia" w:hAnsiTheme="minorEastAsia" w:eastAsiaTheme="minorEastAsia"/>
          <w:b/>
          <w:color w:val="000000" w:themeColor="text1"/>
          <w:sz w:val="24"/>
          <w:szCs w:val="24"/>
        </w:rPr>
        <w:t xml:space="preserve">4  </w:t>
      </w:r>
      <w:r>
        <w:rPr>
          <w:rFonts w:hint="eastAsia" w:asciiTheme="minorEastAsia" w:hAnsiTheme="minorEastAsia" w:eastAsiaTheme="minorEastAsia"/>
          <w:b/>
          <w:color w:val="000000" w:themeColor="text1"/>
          <w:sz w:val="24"/>
          <w:szCs w:val="24"/>
        </w:rPr>
        <w:t>输入／移去的变量</w:t>
      </w:r>
      <w:r>
        <w:rPr>
          <w:rFonts w:asciiTheme="minorEastAsia" w:hAnsiTheme="minorEastAsia" w:eastAsiaTheme="minorEastAsia"/>
          <w:b/>
          <w:color w:val="000000" w:themeColor="text1"/>
          <w:sz w:val="24"/>
          <w:szCs w:val="24"/>
        </w:rPr>
        <w:t>b</w:t>
      </w:r>
    </w:p>
    <w:tbl>
      <w:tblPr>
        <w:tblStyle w:val="18"/>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6"/>
        <w:gridCol w:w="2744"/>
        <w:gridCol w:w="2317"/>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1406" w:type="dxa"/>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模型</w:t>
            </w:r>
          </w:p>
        </w:tc>
        <w:tc>
          <w:tcPr>
            <w:tcW w:w="2744" w:type="dxa"/>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输入的变量</w:t>
            </w:r>
          </w:p>
        </w:tc>
        <w:tc>
          <w:tcPr>
            <w:tcW w:w="2317" w:type="dxa"/>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移去的变量</w:t>
            </w:r>
          </w:p>
        </w:tc>
        <w:tc>
          <w:tcPr>
            <w:tcW w:w="1951" w:type="dxa"/>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1406"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2744" w:type="dxa"/>
            <w:shd w:val="clear" w:color="auto" w:fill="FFFFFF"/>
            <w:vAlign w:val="center"/>
          </w:tcPr>
          <w:p>
            <w:pPr>
              <w:spacing w:before="0" w:after="0" w:line="360" w:lineRule="auto"/>
              <w:ind w:left="0" w:firstLine="0"/>
              <w:jc w:val="left"/>
              <w:rPr>
                <w:rFonts w:ascii="Times New Roman" w:hAnsi="Times New Roman"/>
                <w:color w:val="000000" w:themeColor="text1"/>
                <w:sz w:val="24"/>
                <w:szCs w:val="24"/>
              </w:rPr>
            </w:pPr>
            <w:r>
              <w:rPr>
                <w:rFonts w:hint="eastAsia" w:ascii="Times New Roman" w:hAnsi="Times New Roman"/>
                <w:color w:val="000000" w:themeColor="text1"/>
                <w:sz w:val="24"/>
                <w:szCs w:val="24"/>
              </w:rPr>
              <w:t>社会消费品零售额</w:t>
            </w:r>
            <w:r>
              <w:rPr>
                <w:rFonts w:ascii="Times New Roman" w:hAnsi="Times New Roman"/>
                <w:color w:val="000000" w:themeColor="text1"/>
                <w:sz w:val="24"/>
                <w:szCs w:val="24"/>
              </w:rPr>
              <w:t xml:space="preserve">, </w:t>
            </w:r>
            <w:r>
              <w:rPr>
                <w:rFonts w:hint="eastAsia" w:ascii="Times New Roman" w:hAnsi="Times New Roman"/>
                <w:color w:val="000000" w:themeColor="text1"/>
                <w:sz w:val="24"/>
                <w:szCs w:val="24"/>
              </w:rPr>
              <w:t>常住人口</w:t>
            </w:r>
            <w:r>
              <w:rPr>
                <w:rFonts w:ascii="Times New Roman" w:hAnsi="Times New Roman"/>
                <w:color w:val="000000" w:themeColor="text1"/>
                <w:sz w:val="24"/>
                <w:szCs w:val="24"/>
              </w:rPr>
              <w:t xml:space="preserve">, GDP, </w:t>
            </w:r>
            <w:r>
              <w:rPr>
                <w:rFonts w:hint="eastAsia" w:ascii="Times New Roman" w:hAnsi="Times New Roman"/>
                <w:color w:val="000000" w:themeColor="text1"/>
                <w:sz w:val="24"/>
                <w:szCs w:val="24"/>
              </w:rPr>
              <w:t>居民人均消费水平</w:t>
            </w:r>
          </w:p>
        </w:tc>
        <w:tc>
          <w:tcPr>
            <w:tcW w:w="2317"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1951"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418" w:type="dxa"/>
            <w:gridSpan w:val="4"/>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a. </w:t>
            </w:r>
            <w:r>
              <w:rPr>
                <w:rFonts w:hint="eastAsia" w:ascii="Times New Roman" w:hAnsi="Times New Roman"/>
                <w:color w:val="000000" w:themeColor="text1"/>
                <w:sz w:val="24"/>
                <w:szCs w:val="24"/>
              </w:rPr>
              <w:t>已输入所有请求的变量。</w:t>
            </w:r>
          </w:p>
          <w:p>
            <w:pPr>
              <w:spacing w:before="0" w:after="0" w:line="360" w:lineRule="auto"/>
              <w:ind w:left="0" w:firstLine="2760" w:firstLineChars="1150"/>
              <w:rPr>
                <w:rFonts w:ascii="Times New Roman" w:hAnsi="Times New Roman"/>
                <w:color w:val="000000" w:themeColor="text1"/>
                <w:sz w:val="24"/>
                <w:szCs w:val="24"/>
              </w:rPr>
            </w:pPr>
            <w:r>
              <w:rPr>
                <w:rFonts w:ascii="Times New Roman" w:hAnsi="Times New Roman"/>
                <w:color w:val="000000" w:themeColor="text1"/>
                <w:sz w:val="24"/>
                <w:szCs w:val="24"/>
              </w:rPr>
              <w:t xml:space="preserve">b. </w:t>
            </w:r>
            <w:r>
              <w:rPr>
                <w:rFonts w:hint="eastAsia" w:ascii="Times New Roman" w:hAnsi="Times New Roman"/>
                <w:color w:val="000000" w:themeColor="text1"/>
                <w:sz w:val="24"/>
                <w:szCs w:val="24"/>
              </w:rPr>
              <w:t>因变量</w:t>
            </w:r>
            <w:r>
              <w:rPr>
                <w:rFonts w:ascii="Times New Roman" w:hAnsi="Times New Roman"/>
                <w:color w:val="000000" w:themeColor="text1"/>
                <w:sz w:val="24"/>
                <w:szCs w:val="24"/>
              </w:rPr>
              <w:t xml:space="preserve">: </w:t>
            </w:r>
            <w:r>
              <w:rPr>
                <w:rFonts w:hint="eastAsia" w:ascii="Times New Roman" w:hAnsi="Times New Roman"/>
                <w:color w:val="000000" w:themeColor="text1"/>
                <w:sz w:val="24"/>
                <w:szCs w:val="24"/>
              </w:rPr>
              <w:t>快递业务量</w:t>
            </w:r>
          </w:p>
        </w:tc>
      </w:tr>
    </w:tbl>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5  模型汇总</w:t>
      </w:r>
    </w:p>
    <w:tbl>
      <w:tblPr>
        <w:tblStyle w:val="18"/>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5"/>
        <w:gridCol w:w="1615"/>
        <w:gridCol w:w="1613"/>
        <w:gridCol w:w="170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1165" w:type="dxa"/>
            <w:shd w:val="clear" w:color="auto" w:fill="FFFFFF"/>
            <w:vAlign w:val="bottom"/>
          </w:tcPr>
          <w:p>
            <w:pPr>
              <w:spacing w:before="0" w:after="0" w:line="360" w:lineRule="auto"/>
              <w:ind w:left="0" w:firstLine="482" w:firstLineChars="200"/>
              <w:jc w:val="left"/>
              <w:rPr>
                <w:rFonts w:asciiTheme="minorEastAsia" w:hAnsiTheme="minorEastAsia" w:eastAsiaTheme="minorEastAsia"/>
                <w:b/>
                <w:color w:val="000000" w:themeColor="text1"/>
                <w:kern w:val="0"/>
                <w:sz w:val="24"/>
                <w:szCs w:val="24"/>
              </w:rPr>
            </w:pPr>
            <w:r>
              <w:rPr>
                <w:rFonts w:hint="eastAsia" w:asciiTheme="minorEastAsia" w:hAnsiTheme="minorEastAsia" w:eastAsiaTheme="minorEastAsia"/>
                <w:b/>
                <w:color w:val="000000" w:themeColor="text1"/>
                <w:kern w:val="0"/>
                <w:sz w:val="24"/>
                <w:szCs w:val="24"/>
              </w:rPr>
              <w:t>模型</w:t>
            </w:r>
          </w:p>
        </w:tc>
        <w:tc>
          <w:tcPr>
            <w:tcW w:w="1615" w:type="dxa"/>
            <w:shd w:val="clear" w:color="auto" w:fill="FFFFFF"/>
            <w:vAlign w:val="bottom"/>
          </w:tcPr>
          <w:p>
            <w:pPr>
              <w:spacing w:before="0" w:after="0" w:line="360" w:lineRule="auto"/>
              <w:ind w:left="0" w:firstLine="482" w:firstLineChars="200"/>
              <w:jc w:val="left"/>
              <w:rPr>
                <w:rFonts w:asciiTheme="minorEastAsia" w:hAnsiTheme="minorEastAsia" w:eastAsiaTheme="minorEastAsia"/>
                <w:b/>
                <w:color w:val="000000" w:themeColor="text1"/>
                <w:kern w:val="0"/>
                <w:sz w:val="24"/>
                <w:szCs w:val="24"/>
              </w:rPr>
            </w:pPr>
            <w:r>
              <w:rPr>
                <w:rFonts w:asciiTheme="minorEastAsia" w:hAnsiTheme="minorEastAsia" w:eastAsiaTheme="minorEastAsia"/>
                <w:b/>
                <w:color w:val="000000" w:themeColor="text1"/>
                <w:kern w:val="0"/>
                <w:sz w:val="24"/>
                <w:szCs w:val="24"/>
              </w:rPr>
              <w:t>R</w:t>
            </w:r>
          </w:p>
        </w:tc>
        <w:tc>
          <w:tcPr>
            <w:tcW w:w="1613" w:type="dxa"/>
            <w:shd w:val="clear" w:color="auto" w:fill="FFFFFF"/>
            <w:vAlign w:val="bottom"/>
          </w:tcPr>
          <w:p>
            <w:pPr>
              <w:spacing w:before="0" w:after="0" w:line="360" w:lineRule="auto"/>
              <w:ind w:left="0" w:firstLine="482" w:firstLineChars="200"/>
              <w:jc w:val="left"/>
              <w:rPr>
                <w:rFonts w:asciiTheme="minorEastAsia" w:hAnsiTheme="minorEastAsia" w:eastAsiaTheme="minorEastAsia"/>
                <w:b/>
                <w:color w:val="000000" w:themeColor="text1"/>
                <w:kern w:val="0"/>
                <w:sz w:val="24"/>
                <w:szCs w:val="24"/>
              </w:rPr>
            </w:pPr>
            <w:r>
              <w:rPr>
                <w:rFonts w:asciiTheme="minorEastAsia" w:hAnsiTheme="minorEastAsia" w:eastAsiaTheme="minorEastAsia"/>
                <w:b/>
                <w:color w:val="000000" w:themeColor="text1"/>
                <w:kern w:val="0"/>
                <w:sz w:val="24"/>
                <w:szCs w:val="24"/>
              </w:rPr>
              <w:t xml:space="preserve">R </w:t>
            </w:r>
            <w:r>
              <w:rPr>
                <w:rFonts w:hint="eastAsia" w:asciiTheme="minorEastAsia" w:hAnsiTheme="minorEastAsia" w:eastAsiaTheme="minorEastAsia"/>
                <w:b/>
                <w:color w:val="000000" w:themeColor="text1"/>
                <w:kern w:val="0"/>
                <w:sz w:val="24"/>
                <w:szCs w:val="24"/>
              </w:rPr>
              <w:t>方</w:t>
            </w:r>
          </w:p>
        </w:tc>
        <w:tc>
          <w:tcPr>
            <w:tcW w:w="1700" w:type="dxa"/>
            <w:shd w:val="clear" w:color="auto" w:fill="FFFFFF"/>
            <w:vAlign w:val="bottom"/>
          </w:tcPr>
          <w:p>
            <w:pPr>
              <w:spacing w:before="0" w:after="0" w:line="360" w:lineRule="auto"/>
              <w:ind w:left="0" w:firstLine="482" w:firstLineChars="200"/>
              <w:jc w:val="left"/>
              <w:rPr>
                <w:rFonts w:asciiTheme="minorEastAsia" w:hAnsiTheme="minorEastAsia" w:eastAsiaTheme="minorEastAsia"/>
                <w:b/>
                <w:color w:val="000000" w:themeColor="text1"/>
                <w:kern w:val="0"/>
                <w:sz w:val="24"/>
                <w:szCs w:val="24"/>
              </w:rPr>
            </w:pPr>
            <w:r>
              <w:rPr>
                <w:rFonts w:hint="eastAsia" w:asciiTheme="minorEastAsia" w:hAnsiTheme="minorEastAsia" w:eastAsiaTheme="minorEastAsia"/>
                <w:b/>
                <w:color w:val="000000" w:themeColor="text1"/>
                <w:kern w:val="0"/>
                <w:sz w:val="24"/>
                <w:szCs w:val="24"/>
              </w:rPr>
              <w:t>调整</w:t>
            </w:r>
            <w:r>
              <w:rPr>
                <w:rFonts w:asciiTheme="minorEastAsia" w:hAnsiTheme="minorEastAsia" w:eastAsiaTheme="minorEastAsia"/>
                <w:b/>
                <w:color w:val="000000" w:themeColor="text1"/>
                <w:kern w:val="0"/>
                <w:sz w:val="24"/>
                <w:szCs w:val="24"/>
              </w:rPr>
              <w:t xml:space="preserve"> R </w:t>
            </w:r>
            <w:r>
              <w:rPr>
                <w:rFonts w:hint="eastAsia" w:asciiTheme="minorEastAsia" w:hAnsiTheme="minorEastAsia" w:eastAsiaTheme="minorEastAsia"/>
                <w:b/>
                <w:color w:val="000000" w:themeColor="text1"/>
                <w:kern w:val="0"/>
                <w:sz w:val="24"/>
                <w:szCs w:val="24"/>
              </w:rPr>
              <w:t>方</w:t>
            </w:r>
          </w:p>
        </w:tc>
        <w:tc>
          <w:tcPr>
            <w:tcW w:w="2325" w:type="dxa"/>
            <w:shd w:val="clear" w:color="auto" w:fill="FFFFFF"/>
            <w:vAlign w:val="bottom"/>
          </w:tcPr>
          <w:p>
            <w:pPr>
              <w:spacing w:before="0" w:after="0" w:line="360" w:lineRule="auto"/>
              <w:ind w:left="0" w:firstLine="482" w:firstLineChars="200"/>
              <w:jc w:val="left"/>
              <w:rPr>
                <w:rFonts w:asciiTheme="minorEastAsia" w:hAnsiTheme="minorEastAsia" w:eastAsiaTheme="minorEastAsia"/>
                <w:b/>
                <w:color w:val="000000" w:themeColor="text1"/>
                <w:kern w:val="0"/>
                <w:sz w:val="24"/>
                <w:szCs w:val="24"/>
              </w:rPr>
            </w:pPr>
            <w:r>
              <w:rPr>
                <w:rFonts w:hint="eastAsia" w:asciiTheme="minorEastAsia" w:hAnsiTheme="minorEastAsia" w:eastAsiaTheme="minorEastAsia"/>
                <w:b/>
                <w:color w:val="000000" w:themeColor="text1"/>
                <w:kern w:val="0"/>
                <w:sz w:val="24"/>
                <w:szCs w:val="24"/>
              </w:rPr>
              <w:t>标准</w:t>
            </w:r>
            <w:r>
              <w:rPr>
                <w:rFonts w:asciiTheme="minorEastAsia" w:hAnsiTheme="minorEastAsia" w:eastAsiaTheme="minorEastAsia"/>
                <w:b/>
                <w:color w:val="000000" w:themeColor="text1"/>
                <w:kern w:val="0"/>
                <w:sz w:val="24"/>
                <w:szCs w:val="24"/>
              </w:rPr>
              <w:t xml:space="preserve"> </w:t>
            </w:r>
            <w:r>
              <w:rPr>
                <w:rFonts w:hint="eastAsia" w:asciiTheme="minorEastAsia" w:hAnsiTheme="minorEastAsia" w:eastAsiaTheme="minorEastAsia"/>
                <w:b/>
                <w:color w:val="000000" w:themeColor="text1"/>
                <w:kern w:val="0"/>
                <w:sz w:val="24"/>
                <w:szCs w:val="24"/>
              </w:rPr>
              <w:t>估计的误差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1165"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615"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.993a</w:t>
            </w:r>
          </w:p>
        </w:tc>
        <w:tc>
          <w:tcPr>
            <w:tcW w:w="1613"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.986</w:t>
            </w:r>
          </w:p>
        </w:tc>
        <w:tc>
          <w:tcPr>
            <w:tcW w:w="170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.958</w:t>
            </w:r>
          </w:p>
        </w:tc>
        <w:tc>
          <w:tcPr>
            <w:tcW w:w="2325"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153.17985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418" w:type="dxa"/>
            <w:gridSpan w:val="5"/>
            <w:shd w:val="clear" w:color="auto" w:fill="FFFFFF"/>
          </w:tcPr>
          <w:p>
            <w:pPr>
              <w:spacing w:before="0" w:after="0" w:line="360" w:lineRule="auto"/>
              <w:ind w:left="0" w:firstLine="0"/>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a. </w:t>
            </w:r>
            <w:r>
              <w:rPr>
                <w:rFonts w:hint="eastAsia" w:ascii="Times New Roman" w:hAnsi="Times New Roman"/>
                <w:color w:val="000000" w:themeColor="text1"/>
                <w:sz w:val="24"/>
                <w:szCs w:val="24"/>
              </w:rPr>
              <w:t>预测变量</w:t>
            </w:r>
            <w:r>
              <w:rPr>
                <w:rFonts w:ascii="Times New Roman" w:hAnsi="Times New Roman"/>
                <w:color w:val="000000" w:themeColor="text1"/>
                <w:sz w:val="24"/>
                <w:szCs w:val="24"/>
              </w:rPr>
              <w:t>: (</w:t>
            </w:r>
            <w:r>
              <w:rPr>
                <w:rFonts w:hint="eastAsia" w:ascii="Times New Roman" w:hAnsi="Times New Roman"/>
                <w:color w:val="000000" w:themeColor="text1"/>
                <w:sz w:val="24"/>
                <w:szCs w:val="24"/>
              </w:rPr>
              <w:t>常量</w:t>
            </w:r>
            <w:r>
              <w:rPr>
                <w:rFonts w:ascii="Times New Roman" w:hAnsi="Times New Roman"/>
                <w:color w:val="000000" w:themeColor="text1"/>
                <w:sz w:val="24"/>
                <w:szCs w:val="24"/>
              </w:rPr>
              <w:t xml:space="preserve">), </w:t>
            </w:r>
            <w:r>
              <w:rPr>
                <w:rFonts w:hint="eastAsia" w:ascii="Times New Roman" w:hAnsi="Times New Roman"/>
                <w:color w:val="000000" w:themeColor="text1"/>
                <w:sz w:val="24"/>
                <w:szCs w:val="24"/>
              </w:rPr>
              <w:t>社会消费品零售额</w:t>
            </w:r>
            <w:r>
              <w:rPr>
                <w:rFonts w:ascii="Times New Roman" w:hAnsi="Times New Roman"/>
                <w:color w:val="000000" w:themeColor="text1"/>
                <w:sz w:val="24"/>
                <w:szCs w:val="24"/>
              </w:rPr>
              <w:t xml:space="preserve">, </w:t>
            </w:r>
            <w:r>
              <w:rPr>
                <w:rFonts w:hint="eastAsia" w:ascii="Times New Roman" w:hAnsi="Times New Roman"/>
                <w:color w:val="000000" w:themeColor="text1"/>
                <w:sz w:val="24"/>
                <w:szCs w:val="24"/>
              </w:rPr>
              <w:t>常住人口</w:t>
            </w:r>
            <w:r>
              <w:rPr>
                <w:rFonts w:ascii="Times New Roman" w:hAnsi="Times New Roman"/>
                <w:color w:val="000000" w:themeColor="text1"/>
                <w:sz w:val="24"/>
                <w:szCs w:val="24"/>
              </w:rPr>
              <w:t xml:space="preserve">, GDP, </w:t>
            </w:r>
            <w:r>
              <w:rPr>
                <w:rFonts w:hint="eastAsia" w:ascii="Times New Roman" w:hAnsi="Times New Roman"/>
                <w:color w:val="000000" w:themeColor="text1"/>
                <w:sz w:val="24"/>
                <w:szCs w:val="24"/>
              </w:rPr>
              <w:t>居民人均消费水平。</w:t>
            </w:r>
          </w:p>
          <w:p>
            <w:pPr>
              <w:spacing w:before="0" w:after="0" w:line="360" w:lineRule="auto"/>
              <w:ind w:left="0" w:firstLine="0"/>
              <w:jc w:val="left"/>
              <w:rPr>
                <w:rFonts w:asciiTheme="minorEastAsia" w:hAnsiTheme="minorEastAsia" w:eastAsiaTheme="minorEastAsia"/>
                <w:color w:val="000000" w:themeColor="text1"/>
                <w:kern w:val="0"/>
                <w:sz w:val="24"/>
                <w:szCs w:val="24"/>
              </w:rPr>
            </w:pPr>
            <w:r>
              <w:rPr>
                <w:rFonts w:ascii="Times New Roman" w:hAnsi="Times New Roman"/>
                <w:color w:val="000000" w:themeColor="text1"/>
                <w:sz w:val="24"/>
                <w:szCs w:val="24"/>
              </w:rPr>
              <w:t xml:space="preserve">b. </w:t>
            </w:r>
            <w:r>
              <w:rPr>
                <w:rFonts w:hint="eastAsia" w:ascii="Times New Roman" w:hAnsi="Times New Roman"/>
                <w:color w:val="000000" w:themeColor="text1"/>
                <w:sz w:val="24"/>
                <w:szCs w:val="24"/>
              </w:rPr>
              <w:t>因变量</w:t>
            </w:r>
            <w:r>
              <w:rPr>
                <w:rFonts w:ascii="Times New Roman" w:hAnsi="Times New Roman"/>
                <w:color w:val="000000" w:themeColor="text1"/>
                <w:sz w:val="24"/>
                <w:szCs w:val="24"/>
              </w:rPr>
              <w:t xml:space="preserve">: </w:t>
            </w:r>
            <w:r>
              <w:rPr>
                <w:rFonts w:hint="eastAsia" w:ascii="Times New Roman" w:hAnsi="Times New Roman"/>
                <w:color w:val="000000" w:themeColor="text1"/>
                <w:sz w:val="24"/>
                <w:szCs w:val="24"/>
              </w:rPr>
              <w:t>快递业务量</w:t>
            </w:r>
          </w:p>
        </w:tc>
      </w:tr>
    </w:tbl>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p>
    <w:p>
      <w:pPr>
        <w:widowControl/>
        <w:spacing w:before="0" w:after="0" w:line="240" w:lineRule="auto"/>
        <w:ind w:left="0" w:firstLine="0"/>
        <w:jc w:val="left"/>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br w:type="page"/>
      </w:r>
    </w:p>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6</w:t>
      </w:r>
      <w:r>
        <w:rPr>
          <w:rFonts w:hint="eastAsia" w:asciiTheme="minorEastAsia" w:hAnsiTheme="minorEastAsia" w:eastAsiaTheme="minorEastAsia"/>
          <w:b/>
          <w:color w:val="000000" w:themeColor="text1"/>
          <w:sz w:val="24"/>
          <w:szCs w:val="24"/>
        </w:rPr>
        <w:t>系数</w:t>
      </w:r>
      <w:r>
        <w:rPr>
          <w:rFonts w:asciiTheme="minorEastAsia" w:hAnsiTheme="minorEastAsia" w:eastAsiaTheme="minorEastAsia"/>
          <w:b/>
          <w:color w:val="000000" w:themeColor="text1"/>
          <w:sz w:val="24"/>
          <w:szCs w:val="24"/>
        </w:rPr>
        <w:t>a</w:t>
      </w:r>
    </w:p>
    <w:tbl>
      <w:tblPr>
        <w:tblStyle w:val="18"/>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4"/>
        <w:gridCol w:w="1970"/>
        <w:gridCol w:w="1248"/>
        <w:gridCol w:w="1180"/>
        <w:gridCol w:w="1108"/>
        <w:gridCol w:w="109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2684" w:type="dxa"/>
            <w:gridSpan w:val="2"/>
            <w:vMerge w:val="restart"/>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模型</w:t>
            </w:r>
          </w:p>
        </w:tc>
        <w:tc>
          <w:tcPr>
            <w:tcW w:w="2428" w:type="dxa"/>
            <w:gridSpan w:val="2"/>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非标准化系数</w:t>
            </w:r>
          </w:p>
        </w:tc>
        <w:tc>
          <w:tcPr>
            <w:tcW w:w="1108" w:type="dxa"/>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标准系数</w:t>
            </w:r>
          </w:p>
        </w:tc>
        <w:tc>
          <w:tcPr>
            <w:tcW w:w="1099" w:type="dxa"/>
            <w:vMerge w:val="restart"/>
            <w:shd w:val="clear" w:color="auto" w:fill="FFFFFF"/>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t</w:t>
            </w:r>
          </w:p>
        </w:tc>
        <w:tc>
          <w:tcPr>
            <w:tcW w:w="1099" w:type="dxa"/>
            <w:vMerge w:val="restart"/>
            <w:shd w:val="clear" w:color="auto" w:fill="FFFFFF"/>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Sig.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2684" w:type="dxa"/>
            <w:gridSpan w:val="2"/>
            <w:vMerge w:val="continue"/>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p>
        </w:tc>
        <w:tc>
          <w:tcPr>
            <w:tcW w:w="1248" w:type="dxa"/>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B</w:t>
            </w:r>
          </w:p>
        </w:tc>
        <w:tc>
          <w:tcPr>
            <w:tcW w:w="1180" w:type="dxa"/>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标准</w:t>
            </w:r>
            <w:r>
              <w:rPr>
                <w:rFonts w:ascii="Times New Roman" w:hAnsi="Times New Roman"/>
                <w:b/>
                <w:bCs/>
                <w:color w:val="000000" w:themeColor="text1"/>
                <w:kern w:val="0"/>
                <w:szCs w:val="22"/>
              </w:rPr>
              <w:t xml:space="preserve"> </w:t>
            </w:r>
            <w:r>
              <w:rPr>
                <w:rFonts w:hint="eastAsia" w:ascii="Times New Roman" w:hAnsi="Times New Roman"/>
                <w:b/>
                <w:bCs/>
                <w:color w:val="000000" w:themeColor="text1"/>
                <w:kern w:val="0"/>
                <w:szCs w:val="22"/>
              </w:rPr>
              <w:t>误差</w:t>
            </w:r>
          </w:p>
        </w:tc>
        <w:tc>
          <w:tcPr>
            <w:tcW w:w="1108" w:type="dxa"/>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试用版</w:t>
            </w:r>
          </w:p>
        </w:tc>
        <w:tc>
          <w:tcPr>
            <w:tcW w:w="1099" w:type="dxa"/>
            <w:vMerge w:val="continue"/>
            <w:shd w:val="clear" w:color="auto" w:fill="FFFFFF"/>
            <w:vAlign w:val="bottom"/>
          </w:tcPr>
          <w:p>
            <w:pPr>
              <w:autoSpaceDE w:val="0"/>
              <w:autoSpaceDN w:val="0"/>
              <w:adjustRightInd w:val="0"/>
              <w:spacing w:before="0" w:after="0" w:line="360" w:lineRule="auto"/>
              <w:ind w:left="0" w:firstLine="0"/>
              <w:jc w:val="left"/>
              <w:rPr>
                <w:rFonts w:asciiTheme="minorEastAsia" w:hAnsiTheme="minorEastAsia" w:eastAsiaTheme="minorEastAsia"/>
                <w:color w:val="000000" w:themeColor="text1"/>
                <w:kern w:val="0"/>
                <w:sz w:val="24"/>
                <w:szCs w:val="24"/>
              </w:rPr>
            </w:pPr>
          </w:p>
        </w:tc>
        <w:tc>
          <w:tcPr>
            <w:tcW w:w="1099" w:type="dxa"/>
            <w:vMerge w:val="continue"/>
            <w:shd w:val="clear" w:color="auto" w:fill="FFFFFF"/>
            <w:vAlign w:val="bottom"/>
          </w:tcPr>
          <w:p>
            <w:pPr>
              <w:autoSpaceDE w:val="0"/>
              <w:autoSpaceDN w:val="0"/>
              <w:adjustRightInd w:val="0"/>
              <w:spacing w:before="0" w:after="0" w:line="360" w:lineRule="auto"/>
              <w:ind w:left="0" w:firstLine="0"/>
              <w:jc w:val="left"/>
              <w:rPr>
                <w:rFonts w:asciiTheme="minorEastAsia" w:hAnsiTheme="minorEastAsia" w:eastAsiaTheme="minorEastAsia"/>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714" w:type="dxa"/>
            <w:vMerge w:val="restart"/>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97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Pr>
                <w:rFonts w:hint="eastAsia" w:ascii="Times New Roman" w:hAnsi="Times New Roman"/>
                <w:color w:val="000000" w:themeColor="text1"/>
                <w:sz w:val="24"/>
                <w:szCs w:val="24"/>
              </w:rPr>
              <w:t>常量</w:t>
            </w:r>
            <w:r>
              <w:rPr>
                <w:rFonts w:ascii="Times New Roman" w:hAnsi="Times New Roman"/>
                <w:color w:val="000000" w:themeColor="text1"/>
                <w:sz w:val="24"/>
                <w:szCs w:val="24"/>
              </w:rPr>
              <w:t>)</w:t>
            </w:r>
          </w:p>
        </w:tc>
        <w:tc>
          <w:tcPr>
            <w:tcW w:w="1248"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-3571.053</w:t>
            </w:r>
          </w:p>
        </w:tc>
        <w:tc>
          <w:tcPr>
            <w:tcW w:w="118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8903.748</w:t>
            </w:r>
          </w:p>
        </w:tc>
        <w:tc>
          <w:tcPr>
            <w:tcW w:w="1108" w:type="dxa"/>
            <w:shd w:val="clear" w:color="auto" w:fill="FFFFFF"/>
            <w:vAlign w:val="center"/>
          </w:tcPr>
          <w:p>
            <w:pPr>
              <w:spacing w:before="0" w:after="0" w:line="360" w:lineRule="auto"/>
              <w:ind w:left="0" w:firstLine="0"/>
              <w:jc w:val="center"/>
              <w:rPr>
                <w:rFonts w:ascii="Times New Roman" w:hAnsi="Times New Roman"/>
                <w:color w:val="000000" w:themeColor="text1"/>
                <w:sz w:val="24"/>
                <w:szCs w:val="24"/>
              </w:rPr>
            </w:pP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Pr>
                <w:rFonts w:hint="eastAsia" w:ascii="Times New Roman" w:hAnsi="Times New Roman"/>
                <w:color w:val="000000" w:themeColor="text1"/>
                <w:sz w:val="24"/>
                <w:szCs w:val="24"/>
              </w:rPr>
              <w:t>0</w:t>
            </w:r>
            <w:r>
              <w:rPr>
                <w:rFonts w:ascii="Times New Roman" w:hAnsi="Times New Roman"/>
                <w:color w:val="000000" w:themeColor="text1"/>
                <w:sz w:val="24"/>
                <w:szCs w:val="24"/>
              </w:rPr>
              <w:t>.401</w:t>
            </w: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714" w:type="dxa"/>
            <w:vMerge w:val="continue"/>
            <w:shd w:val="clear" w:color="auto" w:fill="FFFFFF"/>
          </w:tcPr>
          <w:p>
            <w:pPr>
              <w:spacing w:before="0" w:after="0" w:line="360" w:lineRule="auto"/>
              <w:ind w:left="0" w:firstLine="0"/>
              <w:jc w:val="center"/>
              <w:rPr>
                <w:rFonts w:ascii="Times New Roman" w:hAnsi="Times New Roman"/>
                <w:color w:val="000000" w:themeColor="text1"/>
                <w:sz w:val="24"/>
                <w:szCs w:val="24"/>
              </w:rPr>
            </w:pPr>
          </w:p>
        </w:tc>
        <w:tc>
          <w:tcPr>
            <w:tcW w:w="197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GDP</w:t>
            </w:r>
          </w:p>
        </w:tc>
        <w:tc>
          <w:tcPr>
            <w:tcW w:w="1248"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.002</w:t>
            </w:r>
          </w:p>
        </w:tc>
        <w:tc>
          <w:tcPr>
            <w:tcW w:w="118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.002</w:t>
            </w:r>
          </w:p>
        </w:tc>
        <w:tc>
          <w:tcPr>
            <w:tcW w:w="1108"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1.115</w:t>
            </w: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1.270</w:t>
            </w: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714" w:type="dxa"/>
            <w:vMerge w:val="continue"/>
            <w:shd w:val="clear" w:color="auto" w:fill="FFFFFF"/>
          </w:tcPr>
          <w:p>
            <w:pPr>
              <w:spacing w:before="0" w:after="0" w:line="360" w:lineRule="auto"/>
              <w:ind w:left="0" w:firstLine="0"/>
              <w:jc w:val="center"/>
              <w:rPr>
                <w:rFonts w:ascii="Times New Roman" w:hAnsi="Times New Roman"/>
                <w:color w:val="000000" w:themeColor="text1"/>
                <w:sz w:val="24"/>
                <w:szCs w:val="24"/>
              </w:rPr>
            </w:pPr>
          </w:p>
        </w:tc>
        <w:tc>
          <w:tcPr>
            <w:tcW w:w="197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常住人口</w:t>
            </w:r>
          </w:p>
        </w:tc>
        <w:tc>
          <w:tcPr>
            <w:tcW w:w="1248"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225.617</w:t>
            </w:r>
          </w:p>
        </w:tc>
        <w:tc>
          <w:tcPr>
            <w:tcW w:w="118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496.426</w:t>
            </w:r>
          </w:p>
        </w:tc>
        <w:tc>
          <w:tcPr>
            <w:tcW w:w="1108"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.297</w:t>
            </w: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.454</w:t>
            </w: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714" w:type="dxa"/>
            <w:vMerge w:val="continue"/>
            <w:shd w:val="clear" w:color="auto" w:fill="FFFFFF"/>
          </w:tcPr>
          <w:p>
            <w:pPr>
              <w:spacing w:before="0" w:after="0" w:line="360" w:lineRule="auto"/>
              <w:ind w:left="0" w:firstLine="0"/>
              <w:jc w:val="center"/>
              <w:rPr>
                <w:rFonts w:ascii="Times New Roman" w:hAnsi="Times New Roman"/>
                <w:color w:val="000000" w:themeColor="text1"/>
                <w:sz w:val="24"/>
                <w:szCs w:val="24"/>
              </w:rPr>
            </w:pPr>
          </w:p>
        </w:tc>
        <w:tc>
          <w:tcPr>
            <w:tcW w:w="197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居民人均消费水平</w:t>
            </w:r>
          </w:p>
        </w:tc>
        <w:tc>
          <w:tcPr>
            <w:tcW w:w="1248"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Pr>
                <w:rFonts w:hint="eastAsia" w:ascii="Times New Roman" w:hAnsi="Times New Roman"/>
                <w:color w:val="000000" w:themeColor="text1"/>
                <w:sz w:val="24"/>
                <w:szCs w:val="24"/>
              </w:rPr>
              <w:t>0</w:t>
            </w:r>
            <w:r>
              <w:rPr>
                <w:rFonts w:ascii="Times New Roman" w:hAnsi="Times New Roman"/>
                <w:color w:val="000000" w:themeColor="text1"/>
                <w:sz w:val="24"/>
                <w:szCs w:val="24"/>
              </w:rPr>
              <w:t>.400</w:t>
            </w:r>
          </w:p>
        </w:tc>
        <w:tc>
          <w:tcPr>
            <w:tcW w:w="118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.323</w:t>
            </w:r>
          </w:p>
        </w:tc>
        <w:tc>
          <w:tcPr>
            <w:tcW w:w="1108"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-1.254</w:t>
            </w: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-1.239</w:t>
            </w: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trPr>
        <w:tc>
          <w:tcPr>
            <w:tcW w:w="714" w:type="dxa"/>
            <w:vMerge w:val="continue"/>
            <w:shd w:val="clear" w:color="auto" w:fill="FFFFFF"/>
          </w:tcPr>
          <w:p>
            <w:pPr>
              <w:spacing w:before="0" w:after="0" w:line="360" w:lineRule="auto"/>
              <w:ind w:left="0" w:firstLine="0"/>
              <w:jc w:val="center"/>
              <w:rPr>
                <w:rFonts w:ascii="Times New Roman" w:hAnsi="Times New Roman"/>
                <w:color w:val="000000" w:themeColor="text1"/>
                <w:sz w:val="24"/>
                <w:szCs w:val="24"/>
              </w:rPr>
            </w:pPr>
          </w:p>
        </w:tc>
        <w:tc>
          <w:tcPr>
            <w:tcW w:w="197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社会消费品零售额</w:t>
            </w:r>
          </w:p>
        </w:tc>
        <w:tc>
          <w:tcPr>
            <w:tcW w:w="1248"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.004</w:t>
            </w:r>
          </w:p>
        </w:tc>
        <w:tc>
          <w:tcPr>
            <w:tcW w:w="118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.002</w:t>
            </w:r>
          </w:p>
        </w:tc>
        <w:tc>
          <w:tcPr>
            <w:tcW w:w="1108"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.829</w:t>
            </w: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1.624</w:t>
            </w:r>
          </w:p>
        </w:tc>
        <w:tc>
          <w:tcPr>
            <w:tcW w:w="1099"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418" w:type="dxa"/>
            <w:gridSpan w:val="7"/>
            <w:shd w:val="clear" w:color="auto" w:fill="FFFFFF"/>
          </w:tcPr>
          <w:p>
            <w:pPr>
              <w:autoSpaceDE w:val="0"/>
              <w:autoSpaceDN w:val="0"/>
              <w:adjustRightInd w:val="0"/>
              <w:spacing w:before="0" w:after="0" w:line="360" w:lineRule="auto"/>
              <w:ind w:left="0" w:firstLine="0"/>
              <w:jc w:val="left"/>
              <w:rPr>
                <w:rFonts w:asciiTheme="minorEastAsia" w:hAnsiTheme="minorEastAsia" w:eastAsiaTheme="minorEastAsia"/>
                <w:color w:val="000000" w:themeColor="text1"/>
                <w:kern w:val="0"/>
                <w:sz w:val="24"/>
                <w:szCs w:val="24"/>
              </w:rPr>
            </w:pPr>
            <w:r>
              <w:rPr>
                <w:rFonts w:asciiTheme="minorEastAsia" w:hAnsiTheme="minorEastAsia" w:eastAsiaTheme="minorEastAsia"/>
                <w:color w:val="000000" w:themeColor="text1"/>
                <w:kern w:val="0"/>
                <w:sz w:val="24"/>
                <w:szCs w:val="24"/>
              </w:rPr>
              <w:t xml:space="preserve">a. </w:t>
            </w:r>
            <w:r>
              <w:rPr>
                <w:rFonts w:hint="eastAsia" w:asciiTheme="minorEastAsia" w:hAnsiTheme="minorEastAsia" w:eastAsiaTheme="minorEastAsia"/>
                <w:color w:val="000000" w:themeColor="text1"/>
                <w:kern w:val="0"/>
                <w:sz w:val="24"/>
                <w:szCs w:val="24"/>
              </w:rPr>
              <w:t>因变量</w:t>
            </w:r>
            <w:r>
              <w:rPr>
                <w:rFonts w:asciiTheme="minorEastAsia" w:hAnsiTheme="minorEastAsia" w:eastAsiaTheme="minorEastAsia"/>
                <w:color w:val="000000" w:themeColor="text1"/>
                <w:kern w:val="0"/>
                <w:sz w:val="24"/>
                <w:szCs w:val="24"/>
              </w:rPr>
              <w:t xml:space="preserve">: </w:t>
            </w:r>
            <w:r>
              <w:rPr>
                <w:rFonts w:hint="eastAsia" w:asciiTheme="minorEastAsia" w:hAnsiTheme="minorEastAsia" w:eastAsiaTheme="minorEastAsia"/>
                <w:color w:val="000000" w:themeColor="text1"/>
                <w:kern w:val="0"/>
                <w:sz w:val="24"/>
                <w:szCs w:val="24"/>
              </w:rPr>
              <w:t>快递业务量</w:t>
            </w:r>
          </w:p>
        </w:tc>
      </w:tr>
    </w:tbl>
    <w:p>
      <w:pPr>
        <w:snapToGrid w:val="0"/>
        <w:spacing w:before="0" w:after="0" w:line="360" w:lineRule="auto"/>
        <w:ind w:left="0" w:firstLine="560" w:firstLineChars="200"/>
        <w:jc w:val="left"/>
        <w:rPr>
          <w:color w:val="000000" w:themeColor="text1"/>
          <w:kern w:val="0"/>
          <w:sz w:val="28"/>
        </w:rPr>
      </w:pP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根据上述分析结果可以得出</w:t>
      </w:r>
      <w:r>
        <w:rPr>
          <w:rFonts w:hint="eastAsia"/>
          <w:color w:val="000000" w:themeColor="text1"/>
          <w:kern w:val="0"/>
          <w:sz w:val="28"/>
        </w:rPr>
        <w:t>调整后的R方仍可以达到0.9</w:t>
      </w:r>
      <w:r>
        <w:rPr>
          <w:color w:val="000000" w:themeColor="text1"/>
          <w:kern w:val="0"/>
          <w:sz w:val="28"/>
        </w:rPr>
        <w:t>58</w:t>
      </w:r>
      <w:r>
        <w:rPr>
          <w:rFonts w:hint="eastAsia"/>
          <w:color w:val="000000" w:themeColor="text1"/>
          <w:kern w:val="0"/>
          <w:sz w:val="28"/>
        </w:rPr>
        <w:t>。根据系数表，多元回归方程为：</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快递业务量=3483.312+0.002*GDP -1.308*居民人均消费水平+0.009*社会消费品零售额</w:t>
      </w:r>
      <w:r>
        <w:rPr>
          <w:rFonts w:hint="eastAsia"/>
          <w:color w:val="000000" w:themeColor="text1"/>
          <w:kern w:val="0"/>
          <w:sz w:val="28"/>
        </w:rPr>
        <w:t>。</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同时计算出</w:t>
      </w:r>
      <w:r>
        <w:rPr>
          <w:rFonts w:hint="eastAsia"/>
          <w:color w:val="000000" w:themeColor="text1"/>
          <w:kern w:val="0"/>
          <w:sz w:val="28"/>
        </w:rPr>
        <w:t>2011-2017年的快递业务量的预测值，见表1-</w:t>
      </w:r>
      <w:r>
        <w:rPr>
          <w:color w:val="000000" w:themeColor="text1"/>
          <w:kern w:val="0"/>
          <w:sz w:val="28"/>
        </w:rPr>
        <w:t>7</w:t>
      </w:r>
      <w:r>
        <w:rPr>
          <w:rFonts w:hint="eastAsia"/>
          <w:color w:val="000000" w:themeColor="text1"/>
          <w:kern w:val="0"/>
          <w:sz w:val="28"/>
        </w:rPr>
        <w:t>。</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故回归方程为</w:t>
      </w:r>
      <w:r>
        <w:rPr>
          <w:rFonts w:hint="eastAsia"/>
          <w:color w:val="000000" w:themeColor="text1"/>
          <w:kern w:val="0"/>
          <w:sz w:val="28"/>
        </w:rPr>
        <w:t>：y=-3571.053+0.002*GDP-0.4*居民人均消费水平+225.617*常住人口+0.004*社会消费品零售额。</w:t>
      </w:r>
    </w:p>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表1-</w:t>
      </w:r>
      <w:r>
        <w:rPr>
          <w:rFonts w:asciiTheme="minorEastAsia" w:hAnsiTheme="minorEastAsia" w:eastAsiaTheme="minorEastAsia"/>
          <w:b/>
          <w:color w:val="000000" w:themeColor="text1"/>
          <w:sz w:val="24"/>
          <w:szCs w:val="24"/>
        </w:rPr>
        <w:t xml:space="preserve">7  </w:t>
      </w:r>
      <w:r>
        <w:rPr>
          <w:rFonts w:hint="eastAsia" w:asciiTheme="minorEastAsia" w:hAnsiTheme="minorEastAsia" w:eastAsiaTheme="minorEastAsia"/>
          <w:b/>
          <w:color w:val="000000" w:themeColor="text1"/>
          <w:sz w:val="24"/>
          <w:szCs w:val="24"/>
        </w:rPr>
        <w:t>多元线性回归模型预测值</w:t>
      </w:r>
    </w:p>
    <w:tbl>
      <w:tblPr>
        <w:tblStyle w:val="18"/>
        <w:tblW w:w="89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964"/>
        <w:gridCol w:w="2657"/>
        <w:gridCol w:w="1386"/>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774"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年份</w:t>
            </w:r>
          </w:p>
        </w:tc>
        <w:tc>
          <w:tcPr>
            <w:tcW w:w="2964" w:type="dxa"/>
            <w:tcBorders>
              <w:bottom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快递业务量(万件)实际值</w:t>
            </w:r>
          </w:p>
        </w:tc>
        <w:tc>
          <w:tcPr>
            <w:tcW w:w="2657" w:type="dxa"/>
            <w:tcBorders>
              <w:bottom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快递业务量(万件)预测值</w:t>
            </w:r>
          </w:p>
        </w:tc>
        <w:tc>
          <w:tcPr>
            <w:tcW w:w="1386" w:type="dxa"/>
            <w:tcBorders>
              <w:bottom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误差</w:t>
            </w:r>
          </w:p>
        </w:tc>
        <w:tc>
          <w:tcPr>
            <w:tcW w:w="1136" w:type="dxa"/>
            <w:tcBorders>
              <w:bottom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误差比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74" w:type="dxa"/>
            <w:tcBorders>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2011</w:t>
            </w:r>
          </w:p>
        </w:tc>
        <w:tc>
          <w:tcPr>
            <w:tcW w:w="296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199.71</w:t>
            </w:r>
          </w:p>
        </w:tc>
        <w:tc>
          <w:tcPr>
            <w:tcW w:w="2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192.3166</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Pr>
                <w:rFonts w:hint="eastAsia" w:ascii="Times New Roman" w:hAnsi="Times New Roman"/>
                <w:color w:val="000000" w:themeColor="text1"/>
                <w:sz w:val="24"/>
                <w:szCs w:val="24"/>
              </w:rPr>
              <w:t>7.40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74" w:type="dxa"/>
            <w:tcBorders>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2012</w:t>
            </w:r>
          </w:p>
        </w:tc>
        <w:tc>
          <w:tcPr>
            <w:tcW w:w="296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295.75</w:t>
            </w:r>
          </w:p>
        </w:tc>
        <w:tc>
          <w:tcPr>
            <w:tcW w:w="2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333.0877</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37.33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74" w:type="dxa"/>
            <w:tcBorders>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2013</w:t>
            </w:r>
          </w:p>
        </w:tc>
        <w:tc>
          <w:tcPr>
            <w:tcW w:w="296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440.38</w:t>
            </w:r>
          </w:p>
        </w:tc>
        <w:tc>
          <w:tcPr>
            <w:tcW w:w="2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w:t>
            </w:r>
            <w:r>
              <w:rPr>
                <w:rFonts w:ascii="Times New Roman" w:hAnsi="Times New Roman"/>
                <w:color w:val="000000" w:themeColor="text1"/>
                <w:sz w:val="24"/>
                <w:szCs w:val="24"/>
              </w:rPr>
              <w:t>05</w:t>
            </w:r>
            <w:r>
              <w:rPr>
                <w:rFonts w:hint="eastAsia" w:ascii="Times New Roman" w:hAnsi="Times New Roman"/>
                <w:color w:val="000000" w:themeColor="text1"/>
                <w:sz w:val="24"/>
                <w:szCs w:val="24"/>
              </w:rPr>
              <w:t>.6942</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65</w:t>
            </w:r>
            <w:r>
              <w:rPr>
                <w:rFonts w:hint="eastAsia" w:ascii="Times New Roman" w:hAnsi="Times New Roman"/>
                <w:color w:val="000000" w:themeColor="text1"/>
                <w:sz w:val="24"/>
                <w:szCs w:val="24"/>
              </w:rPr>
              <w:t>.31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14.83</w:t>
            </w:r>
            <w:r>
              <w:rPr>
                <w:rFonts w:hint="eastAsia" w:ascii="Times New Roman" w:hAnsi="Times New Roman"/>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74" w:type="dxa"/>
            <w:tcBorders>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2014</w:t>
            </w:r>
          </w:p>
        </w:tc>
        <w:tc>
          <w:tcPr>
            <w:tcW w:w="296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745.70</w:t>
            </w:r>
          </w:p>
        </w:tc>
        <w:tc>
          <w:tcPr>
            <w:tcW w:w="2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751.8021</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6.10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74" w:type="dxa"/>
            <w:tcBorders>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2015</w:t>
            </w:r>
          </w:p>
        </w:tc>
        <w:tc>
          <w:tcPr>
            <w:tcW w:w="296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1100.16</w:t>
            </w:r>
          </w:p>
        </w:tc>
        <w:tc>
          <w:tcPr>
            <w:tcW w:w="2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w:t>
            </w:r>
            <w:r>
              <w:rPr>
                <w:rFonts w:ascii="Times New Roman" w:hAnsi="Times New Roman"/>
                <w:color w:val="000000" w:themeColor="text1"/>
                <w:sz w:val="24"/>
                <w:szCs w:val="24"/>
              </w:rPr>
              <w:t>20</w:t>
            </w:r>
            <w:r>
              <w:rPr>
                <w:rFonts w:hint="eastAsia" w:ascii="Times New Roman" w:hAnsi="Times New Roman"/>
                <w:color w:val="000000" w:themeColor="text1"/>
                <w:sz w:val="24"/>
                <w:szCs w:val="24"/>
              </w:rPr>
              <w:t>0.61</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100</w:t>
            </w:r>
            <w:r>
              <w:rPr>
                <w:rFonts w:hint="eastAsia" w:ascii="Times New Roman" w:hAnsi="Times New Roman"/>
                <w:color w:val="000000" w:themeColor="text1"/>
                <w:sz w:val="24"/>
                <w:szCs w:val="24"/>
              </w:rPr>
              <w:t>.45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9</w:t>
            </w:r>
            <w:r>
              <w:rPr>
                <w:rFonts w:hint="eastAsia" w:ascii="Times New Roman" w:hAnsi="Times New Roman"/>
                <w:color w:val="000000" w:themeColor="text1"/>
                <w:sz w:val="24"/>
                <w:szCs w:val="24"/>
              </w:rPr>
              <w:t>.</w:t>
            </w:r>
            <w:r>
              <w:rPr>
                <w:rFonts w:ascii="Times New Roman" w:hAnsi="Times New Roman"/>
                <w:color w:val="000000" w:themeColor="text1"/>
                <w:sz w:val="24"/>
                <w:szCs w:val="24"/>
              </w:rPr>
              <w:t>13</w:t>
            </w:r>
            <w:r>
              <w:rPr>
                <w:rFonts w:hint="eastAsia" w:ascii="Times New Roman" w:hAnsi="Times New Roman"/>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74" w:type="dxa"/>
            <w:tcBorders>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2016</w:t>
            </w:r>
          </w:p>
        </w:tc>
        <w:tc>
          <w:tcPr>
            <w:tcW w:w="296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1627.13</w:t>
            </w:r>
          </w:p>
        </w:tc>
        <w:tc>
          <w:tcPr>
            <w:tcW w:w="2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1637.71</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10.58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74" w:type="dxa"/>
            <w:tcBorders>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2017</w:t>
            </w:r>
          </w:p>
        </w:tc>
        <w:tc>
          <w:tcPr>
            <w:tcW w:w="296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2201.90</w:t>
            </w:r>
          </w:p>
        </w:tc>
        <w:tc>
          <w:tcPr>
            <w:tcW w:w="2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2298.658</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96.76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4.39%</w:t>
            </w:r>
          </w:p>
        </w:tc>
      </w:tr>
    </w:tbl>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根据表</w:t>
      </w:r>
      <w:r>
        <w:rPr>
          <w:rFonts w:hint="eastAsia"/>
          <w:color w:val="000000" w:themeColor="text1"/>
          <w:kern w:val="0"/>
          <w:sz w:val="28"/>
        </w:rPr>
        <w:t>1-</w:t>
      </w:r>
      <w:r>
        <w:rPr>
          <w:color w:val="000000" w:themeColor="text1"/>
          <w:kern w:val="0"/>
          <w:sz w:val="28"/>
        </w:rPr>
        <w:t>8可以计算出多元线性回归模型的平均绝对误差比为6.59</w:t>
      </w:r>
      <w:r>
        <w:rPr>
          <w:rFonts w:hint="eastAsia"/>
          <w:color w:val="000000" w:themeColor="text1"/>
          <w:kern w:val="0"/>
          <w:sz w:val="28"/>
        </w:rPr>
        <w:t>%。</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利用二项式曲线回归模型对</w:t>
      </w:r>
      <w:r>
        <w:rPr>
          <w:rFonts w:hint="eastAsia"/>
          <w:color w:val="000000" w:themeColor="text1"/>
          <w:kern w:val="0"/>
          <w:sz w:val="28"/>
        </w:rPr>
        <w:t>2</w:t>
      </w:r>
      <w:r>
        <w:rPr>
          <w:color w:val="000000" w:themeColor="text1"/>
          <w:kern w:val="0"/>
          <w:sz w:val="28"/>
        </w:rPr>
        <w:t>019</w:t>
      </w:r>
      <w:r>
        <w:rPr>
          <w:rFonts w:hint="eastAsia"/>
          <w:color w:val="000000" w:themeColor="text1"/>
          <w:kern w:val="0"/>
          <w:sz w:val="28"/>
        </w:rPr>
        <w:t>-</w:t>
      </w:r>
      <w:r>
        <w:rPr>
          <w:color w:val="000000" w:themeColor="text1"/>
          <w:kern w:val="0"/>
          <w:sz w:val="28"/>
        </w:rPr>
        <w:t>2022年影响快递业务量的各指标进行预测</w:t>
      </w:r>
      <w:r>
        <w:rPr>
          <w:rFonts w:hint="eastAsia"/>
          <w:color w:val="000000" w:themeColor="text1"/>
          <w:kern w:val="0"/>
          <w:sz w:val="28"/>
        </w:rPr>
        <w:t>，</w:t>
      </w:r>
      <w:r>
        <w:rPr>
          <w:color w:val="000000" w:themeColor="text1"/>
          <w:kern w:val="0"/>
          <w:sz w:val="28"/>
        </w:rPr>
        <w:t>结果见表</w:t>
      </w:r>
      <w:r>
        <w:rPr>
          <w:rFonts w:hint="eastAsia"/>
          <w:color w:val="000000" w:themeColor="text1"/>
          <w:kern w:val="0"/>
          <w:sz w:val="28"/>
        </w:rPr>
        <w:t>1-</w:t>
      </w:r>
      <w:r>
        <w:rPr>
          <w:color w:val="000000" w:themeColor="text1"/>
          <w:kern w:val="0"/>
          <w:sz w:val="28"/>
        </w:rPr>
        <w:t>8.然后代入上述多元线性回归模型计算出快递业务量</w:t>
      </w:r>
      <w:r>
        <w:rPr>
          <w:rFonts w:hint="eastAsia"/>
          <w:color w:val="000000" w:themeColor="text1"/>
          <w:kern w:val="0"/>
          <w:sz w:val="28"/>
        </w:rPr>
        <w:t>。</w:t>
      </w:r>
    </w:p>
    <w:p>
      <w:pPr>
        <w:autoSpaceDE w:val="0"/>
        <w:autoSpaceDN w:val="0"/>
        <w:adjustRightInd w:val="0"/>
        <w:spacing w:before="0" w:after="0" w:line="360" w:lineRule="auto"/>
        <w:ind w:left="0" w:firstLine="482" w:firstLineChars="200"/>
        <w:jc w:val="center"/>
        <w:rPr>
          <w:rFonts w:asciiTheme="minorEastAsia" w:hAnsiTheme="minorEastAsia" w:eastAsiaTheme="minorEastAsia"/>
          <w:color w:val="000000" w:themeColor="text1"/>
          <w:sz w:val="28"/>
          <w:szCs w:val="28"/>
        </w:rPr>
      </w:pPr>
      <w:r>
        <w:rPr>
          <w:rFonts w:asciiTheme="minorEastAsia" w:hAnsiTheme="minorEastAsia" w:eastAsiaTheme="minorEastAsia"/>
          <w:b/>
          <w:color w:val="000000" w:themeColor="text1"/>
          <w:sz w:val="24"/>
          <w:szCs w:val="24"/>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8   2019</w:t>
      </w:r>
      <w:r>
        <w:rPr>
          <w:rFonts w:hint="eastAsia" w:asciiTheme="minorEastAsia" w:hAnsiTheme="minorEastAsia" w:eastAsiaTheme="minorEastAsia"/>
          <w:b/>
          <w:color w:val="000000" w:themeColor="text1"/>
          <w:sz w:val="24"/>
          <w:szCs w:val="24"/>
        </w:rPr>
        <w:t>-</w:t>
      </w:r>
      <w:r>
        <w:rPr>
          <w:rFonts w:asciiTheme="minorEastAsia" w:hAnsiTheme="minorEastAsia" w:eastAsiaTheme="minorEastAsia"/>
          <w:b/>
          <w:color w:val="000000" w:themeColor="text1"/>
          <w:sz w:val="24"/>
          <w:szCs w:val="24"/>
        </w:rPr>
        <w:t>2025年</w:t>
      </w:r>
      <w:r>
        <w:rPr>
          <w:rFonts w:hint="eastAsia" w:asciiTheme="minorEastAsia" w:hAnsiTheme="minorEastAsia" w:eastAsiaTheme="minorEastAsia"/>
          <w:b/>
          <w:color w:val="000000" w:themeColor="text1"/>
          <w:sz w:val="24"/>
          <w:szCs w:val="24"/>
        </w:rPr>
        <w:t>泉州台商投资区快递业务量相关指标数据</w:t>
      </w:r>
    </w:p>
    <w:tbl>
      <w:tblPr>
        <w:tblStyle w:val="18"/>
        <w:tblW w:w="8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16"/>
        <w:gridCol w:w="1276"/>
        <w:gridCol w:w="1701"/>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846"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年份</w:t>
            </w:r>
          </w:p>
        </w:tc>
        <w:tc>
          <w:tcPr>
            <w:tcW w:w="1716"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GDP（万元）</w:t>
            </w:r>
          </w:p>
        </w:tc>
        <w:tc>
          <w:tcPr>
            <w:tcW w:w="1276"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常住人口（万人）</w:t>
            </w:r>
          </w:p>
        </w:tc>
        <w:tc>
          <w:tcPr>
            <w:tcW w:w="1701"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居民人均消费水平(</w:t>
            </w:r>
            <w:r>
              <w:rPr>
                <w:rFonts w:ascii="Times New Roman" w:hAnsi="Times New Roman"/>
                <w:b/>
                <w:bCs/>
                <w:color w:val="000000" w:themeColor="text1"/>
                <w:kern w:val="0"/>
                <w:szCs w:val="22"/>
              </w:rPr>
              <w:t>元</w:t>
            </w:r>
            <w:r>
              <w:rPr>
                <w:rFonts w:hint="eastAsia" w:ascii="Times New Roman" w:hAnsi="Times New Roman"/>
                <w:b/>
                <w:bCs/>
                <w:color w:val="000000" w:themeColor="text1"/>
                <w:kern w:val="0"/>
                <w:szCs w:val="22"/>
              </w:rPr>
              <w:t>)</w:t>
            </w:r>
          </w:p>
        </w:tc>
        <w:tc>
          <w:tcPr>
            <w:tcW w:w="1559"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社会消费品零售额（万元）</w:t>
            </w:r>
          </w:p>
        </w:tc>
        <w:tc>
          <w:tcPr>
            <w:tcW w:w="1559"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快递业务量(万件)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4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w:t>
            </w:r>
            <w:r>
              <w:rPr>
                <w:rFonts w:ascii="Times New Roman" w:hAnsi="Times New Roman"/>
                <w:color w:val="000000" w:themeColor="text1"/>
                <w:sz w:val="24"/>
                <w:szCs w:val="24"/>
              </w:rPr>
              <w:t>9</w:t>
            </w:r>
          </w:p>
        </w:tc>
        <w:tc>
          <w:tcPr>
            <w:tcW w:w="171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2812134.71429</w:t>
            </w:r>
          </w:p>
        </w:tc>
        <w:tc>
          <w:tcPr>
            <w:tcW w:w="127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26.20000</w:t>
            </w:r>
          </w:p>
        </w:tc>
        <w:tc>
          <w:tcPr>
            <w:tcW w:w="1701"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21415.42857</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705155.0171 </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2218.8305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4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20</w:t>
            </w:r>
          </w:p>
        </w:tc>
        <w:tc>
          <w:tcPr>
            <w:tcW w:w="171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3060697.78571</w:t>
            </w:r>
          </w:p>
        </w:tc>
        <w:tc>
          <w:tcPr>
            <w:tcW w:w="127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26.73571</w:t>
            </w:r>
          </w:p>
        </w:tc>
        <w:tc>
          <w:tcPr>
            <w:tcW w:w="1701"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22423.07143</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708208.1400 </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2445.9772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4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21</w:t>
            </w:r>
          </w:p>
        </w:tc>
        <w:tc>
          <w:tcPr>
            <w:tcW w:w="171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3322048.61905</w:t>
            </w:r>
          </w:p>
        </w:tc>
        <w:tc>
          <w:tcPr>
            <w:tcW w:w="127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27.29048</w:t>
            </w:r>
          </w:p>
        </w:tc>
        <w:tc>
          <w:tcPr>
            <w:tcW w:w="1701"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23413.95238</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692735.8457 </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2635.6029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4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22</w:t>
            </w:r>
          </w:p>
        </w:tc>
        <w:tc>
          <w:tcPr>
            <w:tcW w:w="171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3596187.21429</w:t>
            </w:r>
          </w:p>
        </w:tc>
        <w:tc>
          <w:tcPr>
            <w:tcW w:w="127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27.86429</w:t>
            </w:r>
          </w:p>
        </w:tc>
        <w:tc>
          <w:tcPr>
            <w:tcW w:w="1701"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24388.07143</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654972.6286 </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2772.6409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4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23</w:t>
            </w:r>
          </w:p>
        </w:tc>
        <w:tc>
          <w:tcPr>
            <w:tcW w:w="171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3883113.57143</w:t>
            </w:r>
          </w:p>
        </w:tc>
        <w:tc>
          <w:tcPr>
            <w:tcW w:w="127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28.45714</w:t>
            </w:r>
          </w:p>
        </w:tc>
        <w:tc>
          <w:tcPr>
            <w:tcW w:w="1701"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25345.42857</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738941.2286 </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3433.1822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4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24</w:t>
            </w:r>
          </w:p>
        </w:tc>
        <w:tc>
          <w:tcPr>
            <w:tcW w:w="171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4182827.69048</w:t>
            </w:r>
          </w:p>
        </w:tc>
        <w:tc>
          <w:tcPr>
            <w:tcW w:w="127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29.06905</w:t>
            </w:r>
          </w:p>
        </w:tc>
        <w:tc>
          <w:tcPr>
            <w:tcW w:w="1701"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26286.02381</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746267.1043 </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3823.7331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4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2025</w:t>
            </w:r>
          </w:p>
        </w:tc>
        <w:tc>
          <w:tcPr>
            <w:tcW w:w="171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4495329.57143</w:t>
            </w:r>
          </w:p>
        </w:tc>
        <w:tc>
          <w:tcPr>
            <w:tcW w:w="1276"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29.70000</w:t>
            </w:r>
          </w:p>
        </w:tc>
        <w:tc>
          <w:tcPr>
            <w:tcW w:w="1701"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27209.85714</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740564.7657 </w:t>
            </w:r>
          </w:p>
        </w:tc>
        <w:tc>
          <w:tcPr>
            <w:tcW w:w="1559"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4198.7472 </w:t>
            </w:r>
          </w:p>
        </w:tc>
      </w:tr>
    </w:tbl>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1</w:t>
      </w:r>
      <w:r>
        <w:rPr>
          <w:rFonts w:eastAsia="黑体"/>
          <w:bCs/>
          <w:color w:val="000000" w:themeColor="text1"/>
          <w:sz w:val="30"/>
          <w:szCs w:val="30"/>
          <w:lang w:bidi="en-US"/>
        </w:rPr>
        <w:t xml:space="preserve">.3.2 </w:t>
      </w:r>
      <w:r>
        <w:rPr>
          <w:rFonts w:hint="eastAsia" w:eastAsia="黑体"/>
          <w:bCs/>
          <w:color w:val="000000" w:themeColor="text1"/>
          <w:sz w:val="30"/>
          <w:szCs w:val="30"/>
          <w:lang w:bidi="en-US"/>
        </w:rPr>
        <w:t>二次多项式</w:t>
      </w:r>
      <w:r>
        <w:rPr>
          <w:rFonts w:eastAsia="黑体"/>
          <w:bCs/>
          <w:color w:val="000000" w:themeColor="text1"/>
          <w:sz w:val="30"/>
          <w:szCs w:val="30"/>
          <w:lang w:bidi="en-US"/>
        </w:rPr>
        <w:t>趋势回归模型</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color w:val="000000" w:themeColor="text1"/>
          <w:kern w:val="0"/>
          <w:sz w:val="28"/>
        </w:rPr>
        <w:t>本规划选用</w:t>
      </w:r>
      <w:r>
        <w:rPr>
          <w:rFonts w:hint="eastAsia"/>
          <w:color w:val="000000" w:themeColor="text1"/>
          <w:kern w:val="0"/>
          <w:sz w:val="28"/>
        </w:rPr>
        <w:t>spss19.0软件对软件快递业务量的影响因素进行二次多项式回归。运行结果如下。</w:t>
      </w:r>
      <w:r>
        <w:rPr>
          <w:rFonts w:hint="eastAsia" w:asciiTheme="minorEastAsia" w:hAnsiTheme="minorEastAsia" w:eastAsiaTheme="minorEastAsia"/>
          <w:color w:val="000000" w:themeColor="text1"/>
          <w:sz w:val="28"/>
          <w:szCs w:val="28"/>
        </w:rPr>
        <w:t xml:space="preserve">         </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w:t>
      </w:r>
    </w:p>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表1-</w:t>
      </w:r>
      <w:r>
        <w:rPr>
          <w:rFonts w:asciiTheme="minorEastAsia" w:hAnsiTheme="minorEastAsia" w:eastAsiaTheme="minorEastAsia"/>
          <w:b/>
          <w:color w:val="000000" w:themeColor="text1"/>
          <w:sz w:val="24"/>
          <w:szCs w:val="24"/>
        </w:rPr>
        <w:t xml:space="preserve">9 </w:t>
      </w:r>
      <w:r>
        <w:rPr>
          <w:rFonts w:hint="eastAsia" w:asciiTheme="minorEastAsia" w:hAnsiTheme="minorEastAsia" w:eastAsiaTheme="minorEastAsia"/>
          <w:b/>
          <w:color w:val="000000" w:themeColor="text1"/>
          <w:sz w:val="24"/>
          <w:szCs w:val="24"/>
        </w:rPr>
        <w:t>模型描述</w:t>
      </w:r>
    </w:p>
    <w:tbl>
      <w:tblPr>
        <w:tblStyle w:val="18"/>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2"/>
        <w:gridCol w:w="2830"/>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jc w:val="center"/>
        </w:trPr>
        <w:tc>
          <w:tcPr>
            <w:tcW w:w="4022" w:type="dxa"/>
            <w:gridSpan w:val="2"/>
            <w:shd w:val="clear" w:color="auto" w:fill="FFFFFF"/>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模型名称</w:t>
            </w:r>
          </w:p>
        </w:tc>
        <w:tc>
          <w:tcPr>
            <w:tcW w:w="4396" w:type="dxa"/>
            <w:shd w:val="clear" w:color="auto" w:fill="FFFFFF"/>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MOD_24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jc w:val="center"/>
        </w:trPr>
        <w:tc>
          <w:tcPr>
            <w:tcW w:w="1192"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因变量</w:t>
            </w:r>
          </w:p>
        </w:tc>
        <w:tc>
          <w:tcPr>
            <w:tcW w:w="283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439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快递业务量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jc w:val="center"/>
        </w:trPr>
        <w:tc>
          <w:tcPr>
            <w:tcW w:w="1192"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方程</w:t>
            </w:r>
          </w:p>
        </w:tc>
        <w:tc>
          <w:tcPr>
            <w:tcW w:w="2830"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439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jc w:val="center"/>
        </w:trPr>
        <w:tc>
          <w:tcPr>
            <w:tcW w:w="4022" w:type="dxa"/>
            <w:gridSpan w:val="2"/>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自变量</w:t>
            </w:r>
          </w:p>
        </w:tc>
        <w:tc>
          <w:tcPr>
            <w:tcW w:w="439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个案顺序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jc w:val="center"/>
        </w:trPr>
        <w:tc>
          <w:tcPr>
            <w:tcW w:w="4022" w:type="dxa"/>
            <w:gridSpan w:val="2"/>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常数</w:t>
            </w:r>
          </w:p>
        </w:tc>
        <w:tc>
          <w:tcPr>
            <w:tcW w:w="439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blHeader/>
          <w:jc w:val="center"/>
        </w:trPr>
        <w:tc>
          <w:tcPr>
            <w:tcW w:w="4022" w:type="dxa"/>
            <w:gridSpan w:val="2"/>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其值在图中标记为观测值的变量</w:t>
            </w:r>
          </w:p>
        </w:tc>
        <w:tc>
          <w:tcPr>
            <w:tcW w:w="439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4022" w:type="dxa"/>
            <w:gridSpan w:val="2"/>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用于在方程中输入项的容差</w:t>
            </w:r>
          </w:p>
        </w:tc>
        <w:tc>
          <w:tcPr>
            <w:tcW w:w="4396" w:type="dxa"/>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w:t>
            </w:r>
            <w:r>
              <w:rPr>
                <w:rFonts w:ascii="Times New Roman" w:hAnsi="Times New Roman"/>
                <w:color w:val="000000" w:themeColor="text1"/>
                <w:sz w:val="24"/>
                <w:szCs w:val="24"/>
              </w:rPr>
              <w:t>.0001</w:t>
            </w:r>
          </w:p>
        </w:tc>
      </w:tr>
    </w:tbl>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p>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 xml:space="preserve">10  </w:t>
      </w:r>
      <w:r>
        <w:rPr>
          <w:rFonts w:hint="eastAsia" w:asciiTheme="minorEastAsia" w:hAnsiTheme="minorEastAsia" w:eastAsiaTheme="minorEastAsia"/>
          <w:b/>
          <w:color w:val="000000" w:themeColor="text1"/>
          <w:sz w:val="24"/>
          <w:szCs w:val="24"/>
        </w:rPr>
        <w:t>模型汇总和参数估计值</w:t>
      </w:r>
    </w:p>
    <w:tbl>
      <w:tblPr>
        <w:tblStyle w:val="18"/>
        <w:tblW w:w="840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88"/>
        <w:gridCol w:w="955"/>
        <w:gridCol w:w="1027"/>
        <w:gridCol w:w="957"/>
        <w:gridCol w:w="957"/>
        <w:gridCol w:w="957"/>
        <w:gridCol w:w="957"/>
        <w:gridCol w:w="957"/>
        <w:gridCol w:w="9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0" w:hRule="atLeast"/>
          <w:tblHeader/>
        </w:trPr>
        <w:tc>
          <w:tcPr>
            <w:tcW w:w="8408" w:type="dxa"/>
            <w:gridSpan w:val="9"/>
            <w:tcBorders>
              <w:top w:val="nil"/>
              <w:left w:val="nil"/>
              <w:bottom w:val="nil"/>
              <w:right w:val="nil"/>
            </w:tcBorders>
            <w:shd w:val="clear" w:color="auto" w:fill="FFFFFF"/>
            <w:vAlign w:val="bottom"/>
          </w:tcPr>
          <w:p>
            <w:pPr>
              <w:spacing w:before="0" w:after="0" w:line="360" w:lineRule="auto"/>
              <w:ind w:left="494" w:hanging="494" w:hangingChars="206"/>
              <w:jc w:val="left"/>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因变量</w:t>
            </w:r>
            <w:r>
              <w:rPr>
                <w:rFonts w:asciiTheme="minorEastAsia" w:hAnsiTheme="minorEastAsia" w:eastAsiaTheme="minorEastAsia"/>
                <w:color w:val="000000" w:themeColor="text1"/>
                <w:sz w:val="24"/>
                <w:szCs w:val="24"/>
              </w:rPr>
              <w:t>:</w:t>
            </w:r>
            <w:r>
              <w:rPr>
                <w:rFonts w:hint="eastAsia" w:asciiTheme="minorEastAsia" w:hAnsiTheme="minorEastAsia" w:eastAsiaTheme="minorEastAsia"/>
                <w:color w:val="000000" w:themeColor="text1"/>
                <w:sz w:val="24"/>
                <w:szCs w:val="24"/>
              </w:rPr>
              <w:t>快递业务量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0" w:hRule="atLeast"/>
          <w:tblHeader/>
        </w:trPr>
        <w:tc>
          <w:tcPr>
            <w:tcW w:w="688" w:type="dxa"/>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方程</w:t>
            </w:r>
          </w:p>
        </w:tc>
        <w:tc>
          <w:tcPr>
            <w:tcW w:w="4853" w:type="dxa"/>
            <w:gridSpan w:val="5"/>
            <w:tcBorders>
              <w:top w:val="single" w:color="000000" w:sz="16" w:space="0"/>
              <w:left w:val="single" w:color="000000" w:sz="16" w:space="0"/>
            </w:tcBorders>
            <w:shd w:val="clear" w:color="auto" w:fill="FFFFFF"/>
            <w:vAlign w:val="bottom"/>
          </w:tcPr>
          <w:p>
            <w:pPr>
              <w:spacing w:before="0" w:after="0" w:line="300" w:lineRule="auto"/>
              <w:ind w:left="0" w:firstLine="422" w:firstLineChars="20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模型汇总</w:t>
            </w:r>
          </w:p>
        </w:tc>
        <w:tc>
          <w:tcPr>
            <w:tcW w:w="2867" w:type="dxa"/>
            <w:gridSpan w:val="3"/>
            <w:tcBorders>
              <w:top w:val="single" w:color="000000" w:sz="16" w:space="0"/>
              <w:right w:val="single" w:color="000000" w:sz="16" w:space="0"/>
            </w:tcBorders>
            <w:shd w:val="clear" w:color="auto" w:fill="FFFFFF"/>
            <w:vAlign w:val="bottom"/>
          </w:tcPr>
          <w:p>
            <w:pPr>
              <w:spacing w:before="0" w:after="0" w:line="300" w:lineRule="auto"/>
              <w:ind w:left="0" w:firstLine="422" w:firstLineChars="20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参数估计值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0" w:hRule="atLeast"/>
          <w:tblHeader/>
        </w:trPr>
        <w:tc>
          <w:tcPr>
            <w:tcW w:w="688" w:type="dxa"/>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p>
        </w:tc>
        <w:tc>
          <w:tcPr>
            <w:tcW w:w="955" w:type="dxa"/>
            <w:tcBorders>
              <w:left w:val="single" w:color="000000" w:sz="16" w:space="0"/>
              <w:bottom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 xml:space="preserve">R </w:t>
            </w:r>
            <w:r>
              <w:rPr>
                <w:rFonts w:hint="eastAsia" w:ascii="Times New Roman" w:hAnsi="Times New Roman"/>
                <w:b/>
                <w:bCs/>
                <w:color w:val="000000" w:themeColor="text1"/>
                <w:kern w:val="0"/>
                <w:szCs w:val="22"/>
              </w:rPr>
              <w:t>方</w:t>
            </w:r>
          </w:p>
        </w:tc>
        <w:tc>
          <w:tcPr>
            <w:tcW w:w="1027" w:type="dxa"/>
            <w:tcBorders>
              <w:bottom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F</w:t>
            </w:r>
          </w:p>
        </w:tc>
        <w:tc>
          <w:tcPr>
            <w:tcW w:w="957" w:type="dxa"/>
            <w:tcBorders>
              <w:bottom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df1</w:t>
            </w:r>
          </w:p>
        </w:tc>
        <w:tc>
          <w:tcPr>
            <w:tcW w:w="957" w:type="dxa"/>
            <w:tcBorders>
              <w:bottom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df2</w:t>
            </w:r>
          </w:p>
        </w:tc>
        <w:tc>
          <w:tcPr>
            <w:tcW w:w="957" w:type="dxa"/>
            <w:tcBorders>
              <w:bottom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Sig.</w:t>
            </w:r>
          </w:p>
        </w:tc>
        <w:tc>
          <w:tcPr>
            <w:tcW w:w="957" w:type="dxa"/>
            <w:tcBorders>
              <w:bottom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常数</w:t>
            </w:r>
          </w:p>
        </w:tc>
        <w:tc>
          <w:tcPr>
            <w:tcW w:w="957" w:type="dxa"/>
            <w:tcBorders>
              <w:bottom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b1</w:t>
            </w:r>
          </w:p>
        </w:tc>
        <w:tc>
          <w:tcPr>
            <w:tcW w:w="953" w:type="dxa"/>
            <w:tcBorders>
              <w:bottom w:val="single" w:color="000000" w:sz="16" w:space="0"/>
              <w:right w:val="single" w:color="000000" w:sz="16" w:space="0"/>
            </w:tcBorders>
            <w:shd w:val="clear" w:color="auto" w:fill="FFFFFF"/>
            <w:vAlign w:val="bottom"/>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b2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0" w:hRule="atLeast"/>
        </w:trPr>
        <w:tc>
          <w:tcPr>
            <w:tcW w:w="688" w:type="dxa"/>
            <w:tcBorders>
              <w:top w:val="single" w:color="000000" w:sz="16" w:space="0"/>
              <w:left w:val="single" w:color="000000" w:sz="16" w:space="0"/>
              <w:bottom w:val="single" w:color="000000" w:sz="16" w:space="0"/>
              <w:right w:val="single" w:color="000000" w:sz="16" w:space="0"/>
            </w:tcBorders>
            <w:shd w:val="clear" w:color="auto" w:fill="FFFFFF"/>
          </w:tcPr>
          <w:p>
            <w:pPr>
              <w:widowControl/>
              <w:spacing w:before="0" w:after="0" w:line="360" w:lineRule="auto"/>
              <w:ind w:left="0" w:firstLine="0"/>
              <w:jc w:val="left"/>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二次</w:t>
            </w:r>
          </w:p>
        </w:tc>
        <w:tc>
          <w:tcPr>
            <w:tcW w:w="955" w:type="dxa"/>
            <w:tcBorders>
              <w:top w:val="single" w:color="000000" w:sz="16" w:space="0"/>
              <w:left w:val="single" w:color="000000" w:sz="16" w:space="0"/>
              <w:bottom w:val="single" w:color="000000" w:sz="16" w:space="0"/>
            </w:tcBorders>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1.000</w:t>
            </w:r>
          </w:p>
        </w:tc>
        <w:tc>
          <w:tcPr>
            <w:tcW w:w="1027" w:type="dxa"/>
            <w:tcBorders>
              <w:top w:val="single" w:color="000000" w:sz="16" w:space="0"/>
              <w:bottom w:val="single" w:color="000000" w:sz="16" w:space="0"/>
            </w:tcBorders>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4900.706</w:t>
            </w:r>
          </w:p>
        </w:tc>
        <w:tc>
          <w:tcPr>
            <w:tcW w:w="957" w:type="dxa"/>
            <w:tcBorders>
              <w:top w:val="single" w:color="000000" w:sz="16" w:space="0"/>
              <w:bottom w:val="single" w:color="000000" w:sz="16" w:space="0"/>
            </w:tcBorders>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957" w:type="dxa"/>
            <w:tcBorders>
              <w:top w:val="single" w:color="000000" w:sz="16" w:space="0"/>
              <w:bottom w:val="single" w:color="000000" w:sz="16" w:space="0"/>
            </w:tcBorders>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957" w:type="dxa"/>
            <w:tcBorders>
              <w:top w:val="single" w:color="000000" w:sz="16" w:space="0"/>
              <w:bottom w:val="single" w:color="000000" w:sz="16" w:space="0"/>
            </w:tcBorders>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.000</w:t>
            </w:r>
          </w:p>
        </w:tc>
        <w:tc>
          <w:tcPr>
            <w:tcW w:w="957" w:type="dxa"/>
            <w:tcBorders>
              <w:top w:val="single" w:color="000000" w:sz="16" w:space="0"/>
              <w:bottom w:val="single" w:color="000000" w:sz="16" w:space="0"/>
            </w:tcBorders>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240.750</w:t>
            </w:r>
          </w:p>
        </w:tc>
        <w:tc>
          <w:tcPr>
            <w:tcW w:w="957" w:type="dxa"/>
            <w:tcBorders>
              <w:top w:val="single" w:color="000000" w:sz="16" w:space="0"/>
              <w:bottom w:val="single" w:color="000000" w:sz="16" w:space="0"/>
            </w:tcBorders>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-86.211</w:t>
            </w:r>
          </w:p>
        </w:tc>
        <w:tc>
          <w:tcPr>
            <w:tcW w:w="953" w:type="dxa"/>
            <w:tcBorders>
              <w:top w:val="single" w:color="000000" w:sz="16" w:space="0"/>
              <w:bottom w:val="single" w:color="000000" w:sz="16" w:space="0"/>
              <w:right w:val="single" w:color="000000" w:sz="16" w:space="0"/>
            </w:tcBorders>
            <w:shd w:val="clear" w:color="auto" w:fill="FFFFFF"/>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52.424</w:t>
            </w:r>
          </w:p>
        </w:tc>
      </w:tr>
    </w:tbl>
    <w:p>
      <w:pPr>
        <w:spacing w:before="0" w:after="0" w:line="360" w:lineRule="auto"/>
        <w:ind w:left="0" w:firstLine="560" w:firstLineChars="200"/>
        <w:jc w:val="left"/>
        <w:rPr>
          <w:rFonts w:asciiTheme="minorEastAsia" w:hAnsiTheme="minorEastAsia" w:eastAsiaTheme="minorEastAsia"/>
          <w:color w:val="000000" w:themeColor="text1"/>
          <w:sz w:val="28"/>
          <w:szCs w:val="28"/>
        </w:rPr>
      </w:pPr>
    </w:p>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drawing>
          <wp:inline distT="0" distB="0" distL="0" distR="0">
            <wp:extent cx="4657725" cy="37318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2" cstate="print"/>
                    <a:stretch>
                      <a:fillRect/>
                    </a:stretch>
                  </pic:blipFill>
                  <pic:spPr>
                    <a:xfrm>
                      <a:off x="0" y="0"/>
                      <a:ext cx="4656402" cy="3730839"/>
                    </a:xfrm>
                    <a:prstGeom prst="rect">
                      <a:avLst/>
                    </a:prstGeom>
                  </pic:spPr>
                </pic:pic>
              </a:graphicData>
            </a:graphic>
          </wp:inline>
        </w:drawing>
      </w:r>
    </w:p>
    <w:p>
      <w:pPr>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t>图</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1 二项式曲线回归拟合图</w:t>
      </w:r>
    </w:p>
    <w:p>
      <w:pPr>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 xml:space="preserve">11  </w:t>
      </w:r>
      <w:r>
        <w:rPr>
          <w:rFonts w:hint="eastAsia" w:asciiTheme="minorEastAsia" w:hAnsiTheme="minorEastAsia" w:eastAsiaTheme="minorEastAsia"/>
          <w:b/>
          <w:color w:val="000000" w:themeColor="text1"/>
          <w:sz w:val="24"/>
          <w:szCs w:val="24"/>
        </w:rPr>
        <w:t>二次项曲线回归模型拟合值</w:t>
      </w:r>
    </w:p>
    <w:tbl>
      <w:tblPr>
        <w:tblStyle w:val="18"/>
        <w:tblW w:w="8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82"/>
        <w:gridCol w:w="1880"/>
        <w:gridCol w:w="1597"/>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971"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年份</w:t>
            </w:r>
          </w:p>
        </w:tc>
        <w:tc>
          <w:tcPr>
            <w:tcW w:w="2582" w:type="dxa"/>
            <w:tcBorders>
              <w:bottom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Y快递业务量(万件)</w:t>
            </w:r>
          </w:p>
        </w:tc>
        <w:tc>
          <w:tcPr>
            <w:tcW w:w="1880" w:type="dxa"/>
            <w:tcBorders>
              <w:bottom w:val="single" w:color="auto" w:sz="4" w:space="0"/>
            </w:tcBorders>
            <w:shd w:val="clear" w:color="auto" w:fill="auto"/>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拟合值</w:t>
            </w:r>
          </w:p>
        </w:tc>
        <w:tc>
          <w:tcPr>
            <w:tcW w:w="1597" w:type="dxa"/>
            <w:tcBorders>
              <w:bottom w:val="single" w:color="auto" w:sz="4" w:space="0"/>
            </w:tcBorders>
            <w:shd w:val="clear" w:color="auto" w:fill="auto"/>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残差</w:t>
            </w:r>
          </w:p>
        </w:tc>
        <w:tc>
          <w:tcPr>
            <w:tcW w:w="1594" w:type="dxa"/>
            <w:tcBorders>
              <w:bottom w:val="single" w:color="auto" w:sz="4" w:space="0"/>
            </w:tcBorders>
            <w:shd w:val="clear" w:color="auto" w:fill="auto"/>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绝对误差比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97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2011</w:t>
            </w:r>
          </w:p>
        </w:tc>
        <w:tc>
          <w:tcPr>
            <w:tcW w:w="2582" w:type="dxa"/>
            <w:tcBorders>
              <w:top w:val="single" w:color="auto" w:sz="4" w:space="0"/>
              <w:bottom w:val="single" w:color="auto" w:sz="4" w:space="0"/>
              <w:right w:val="single" w:color="auto" w:sz="4" w:space="0"/>
            </w:tcBorders>
            <w:shd w:val="clear" w:color="auto" w:fill="auto"/>
            <w:vAlign w:val="center"/>
          </w:tcPr>
          <w:p>
            <w:pPr>
              <w:widowControl/>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199.71</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206.9633</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7.25</w:t>
            </w:r>
          </w:p>
        </w:tc>
        <w:tc>
          <w:tcPr>
            <w:tcW w:w="159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97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2012</w:t>
            </w:r>
          </w:p>
        </w:tc>
        <w:tc>
          <w:tcPr>
            <w:tcW w:w="2582" w:type="dxa"/>
            <w:tcBorders>
              <w:top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295.75</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278.025</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-17.73</w:t>
            </w:r>
          </w:p>
        </w:tc>
        <w:tc>
          <w:tcPr>
            <w:tcW w:w="159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97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2013</w:t>
            </w:r>
          </w:p>
        </w:tc>
        <w:tc>
          <w:tcPr>
            <w:tcW w:w="2582" w:type="dxa"/>
            <w:tcBorders>
              <w:top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440.38</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453.935</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13.55</w:t>
            </w:r>
          </w:p>
        </w:tc>
        <w:tc>
          <w:tcPr>
            <w:tcW w:w="159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97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2014</w:t>
            </w:r>
          </w:p>
        </w:tc>
        <w:tc>
          <w:tcPr>
            <w:tcW w:w="2582" w:type="dxa"/>
            <w:tcBorders>
              <w:top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745.70</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734.6933</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-11.01</w:t>
            </w:r>
          </w:p>
        </w:tc>
        <w:tc>
          <w:tcPr>
            <w:tcW w:w="159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97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2015</w:t>
            </w:r>
          </w:p>
        </w:tc>
        <w:tc>
          <w:tcPr>
            <w:tcW w:w="2582" w:type="dxa"/>
            <w:tcBorders>
              <w:top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1100.16</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1120.3</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20.14</w:t>
            </w:r>
          </w:p>
        </w:tc>
        <w:tc>
          <w:tcPr>
            <w:tcW w:w="159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97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2016</w:t>
            </w:r>
          </w:p>
        </w:tc>
        <w:tc>
          <w:tcPr>
            <w:tcW w:w="2582" w:type="dxa"/>
            <w:tcBorders>
              <w:top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1627.13</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1610.755</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-16.38</w:t>
            </w:r>
          </w:p>
        </w:tc>
        <w:tc>
          <w:tcPr>
            <w:tcW w:w="159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97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2017</w:t>
            </w:r>
          </w:p>
        </w:tc>
        <w:tc>
          <w:tcPr>
            <w:tcW w:w="2582" w:type="dxa"/>
            <w:tcBorders>
              <w:top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2201.90</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2206.058</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4.16</w:t>
            </w:r>
          </w:p>
        </w:tc>
        <w:tc>
          <w:tcPr>
            <w:tcW w:w="159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0.19%</w:t>
            </w:r>
          </w:p>
        </w:tc>
      </w:tr>
    </w:tbl>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 由表1-</w:t>
      </w:r>
      <w:r>
        <w:rPr>
          <w:color w:val="000000" w:themeColor="text1"/>
          <w:kern w:val="0"/>
          <w:sz w:val="28"/>
        </w:rPr>
        <w:t>10</w:t>
      </w:r>
      <w:r>
        <w:rPr>
          <w:rFonts w:hint="eastAsia"/>
          <w:color w:val="000000" w:themeColor="text1"/>
          <w:kern w:val="0"/>
          <w:sz w:val="28"/>
        </w:rPr>
        <w:t>可知R的平方为</w:t>
      </w:r>
      <w:r>
        <w:rPr>
          <w:color w:val="000000" w:themeColor="text1"/>
          <w:kern w:val="0"/>
          <w:sz w:val="28"/>
        </w:rPr>
        <w:t>1.</w:t>
      </w:r>
      <w:r>
        <w:rPr>
          <w:rFonts w:hint="eastAsia"/>
          <w:color w:val="000000" w:themeColor="text1"/>
          <w:kern w:val="0"/>
          <w:sz w:val="28"/>
        </w:rPr>
        <w:t>00,说明拟合程度很高。能较好地反应快递业务量的变化。平均绝对误差比为</w:t>
      </w:r>
      <w:r>
        <w:rPr>
          <w:color w:val="000000" w:themeColor="text1"/>
          <w:kern w:val="0"/>
          <w:sz w:val="28"/>
        </w:rPr>
        <w:t>2.46</w:t>
      </w:r>
      <w:r>
        <w:rPr>
          <w:rFonts w:hint="eastAsia"/>
          <w:color w:val="000000" w:themeColor="text1"/>
          <w:kern w:val="0"/>
          <w:sz w:val="28"/>
        </w:rPr>
        <w:t>%，效果很好。</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color w:val="000000" w:themeColor="text1"/>
          <w:kern w:val="0"/>
          <w:sz w:val="28"/>
        </w:rPr>
        <w:t>利用</w:t>
      </w:r>
      <w:r>
        <w:rPr>
          <w:rFonts w:hint="eastAsia"/>
          <w:color w:val="000000" w:themeColor="text1"/>
          <w:kern w:val="0"/>
          <w:sz w:val="28"/>
        </w:rPr>
        <w:t>二项式</w:t>
      </w:r>
      <w:r>
        <w:rPr>
          <w:color w:val="000000" w:themeColor="text1"/>
          <w:kern w:val="0"/>
          <w:sz w:val="28"/>
        </w:rPr>
        <w:t>曲线回归法对</w:t>
      </w:r>
      <w:r>
        <w:rPr>
          <w:rFonts w:hint="eastAsia"/>
          <w:color w:val="000000" w:themeColor="text1"/>
          <w:kern w:val="0"/>
          <w:sz w:val="28"/>
        </w:rPr>
        <w:t>2019-</w:t>
      </w:r>
      <w:r>
        <w:rPr>
          <w:color w:val="000000" w:themeColor="text1"/>
          <w:kern w:val="0"/>
          <w:sz w:val="28"/>
        </w:rPr>
        <w:t>2025年进行预测得到结果如</w:t>
      </w:r>
      <w:r>
        <w:rPr>
          <w:rFonts w:hint="eastAsia"/>
          <w:color w:val="000000" w:themeColor="text1"/>
          <w:kern w:val="0"/>
          <w:sz w:val="28"/>
        </w:rPr>
        <w:t>表1-</w:t>
      </w:r>
      <w:r>
        <w:rPr>
          <w:color w:val="000000" w:themeColor="text1"/>
          <w:kern w:val="0"/>
          <w:sz w:val="28"/>
        </w:rPr>
        <w:t>12</w:t>
      </w:r>
      <w:r>
        <w:rPr>
          <w:rFonts w:hint="eastAsia"/>
          <w:color w:val="000000" w:themeColor="text1"/>
          <w:kern w:val="0"/>
          <w:sz w:val="28"/>
        </w:rPr>
        <w:t>。</w:t>
      </w:r>
    </w:p>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表1-</w:t>
      </w:r>
      <w:r>
        <w:rPr>
          <w:rFonts w:asciiTheme="minorEastAsia" w:hAnsiTheme="minorEastAsia" w:eastAsiaTheme="minorEastAsia"/>
          <w:b/>
          <w:color w:val="000000" w:themeColor="text1"/>
          <w:sz w:val="24"/>
          <w:szCs w:val="24"/>
        </w:rPr>
        <w:t>12  2019</w:t>
      </w:r>
      <w:r>
        <w:rPr>
          <w:rFonts w:hint="eastAsia" w:asciiTheme="minorEastAsia" w:hAnsiTheme="minorEastAsia" w:eastAsiaTheme="minorEastAsia"/>
          <w:b/>
          <w:color w:val="000000" w:themeColor="text1"/>
          <w:sz w:val="24"/>
          <w:szCs w:val="24"/>
        </w:rPr>
        <w:t>-</w:t>
      </w:r>
      <w:r>
        <w:rPr>
          <w:rFonts w:asciiTheme="minorEastAsia" w:hAnsiTheme="minorEastAsia" w:eastAsiaTheme="minorEastAsia"/>
          <w:b/>
          <w:color w:val="000000" w:themeColor="text1"/>
          <w:sz w:val="24"/>
          <w:szCs w:val="24"/>
        </w:rPr>
        <w:t>2025年二项</w:t>
      </w:r>
      <w:r>
        <w:rPr>
          <w:rFonts w:hint="eastAsia" w:asciiTheme="minorEastAsia" w:hAnsiTheme="minorEastAsia" w:eastAsiaTheme="minorEastAsia"/>
          <w:b/>
          <w:color w:val="000000" w:themeColor="text1"/>
          <w:sz w:val="24"/>
          <w:szCs w:val="24"/>
        </w:rPr>
        <w:t>式</w:t>
      </w:r>
      <w:r>
        <w:rPr>
          <w:rFonts w:asciiTheme="minorEastAsia" w:hAnsiTheme="minorEastAsia" w:eastAsiaTheme="minorEastAsia"/>
          <w:b/>
          <w:color w:val="000000" w:themeColor="text1"/>
          <w:sz w:val="24"/>
          <w:szCs w:val="24"/>
        </w:rPr>
        <w:t>曲线回归预测值</w:t>
      </w:r>
    </w:p>
    <w:tbl>
      <w:tblPr>
        <w:tblStyle w:val="18"/>
        <w:tblW w:w="8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2356"/>
        <w:gridCol w:w="6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Ex>
        <w:trPr>
          <w:trHeight w:val="590" w:hRule="atLeast"/>
        </w:trPr>
        <w:tc>
          <w:tcPr>
            <w:tcW w:w="2356" w:type="dxa"/>
            <w:shd w:val="clear" w:color="000000"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年份</w:t>
            </w:r>
          </w:p>
        </w:tc>
        <w:tc>
          <w:tcPr>
            <w:tcW w:w="6268" w:type="dxa"/>
            <w:tcBorders>
              <w:bottom w:val="single" w:color="auto" w:sz="4" w:space="0"/>
            </w:tcBorders>
            <w:shd w:val="clear" w:color="000000"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快递业务量(万件)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235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w:t>
            </w:r>
            <w:r>
              <w:rPr>
                <w:rFonts w:ascii="Times New Roman" w:hAnsi="Times New Roman"/>
                <w:color w:val="000000" w:themeColor="text1"/>
                <w:sz w:val="24"/>
                <w:szCs w:val="24"/>
              </w:rPr>
              <w:t>9</w:t>
            </w:r>
          </w:p>
        </w:tc>
        <w:tc>
          <w:tcPr>
            <w:tcW w:w="6268"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2597.8470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235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20</w:t>
            </w:r>
          </w:p>
        </w:tc>
        <w:tc>
          <w:tcPr>
            <w:tcW w:w="6268" w:type="dxa"/>
            <w:tcBorders>
              <w:top w:val="nil"/>
              <w:left w:val="single" w:color="auto" w:sz="8" w:space="0"/>
              <w:bottom w:val="single" w:color="auto" w:sz="8" w:space="0"/>
              <w:right w:val="single" w:color="auto" w:sz="8"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3234.7408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235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21</w:t>
            </w:r>
          </w:p>
        </w:tc>
        <w:tc>
          <w:tcPr>
            <w:tcW w:w="6268" w:type="dxa"/>
            <w:tcBorders>
              <w:top w:val="nil"/>
              <w:left w:val="single" w:color="auto" w:sz="8" w:space="0"/>
              <w:bottom w:val="single" w:color="auto" w:sz="8" w:space="0"/>
              <w:right w:val="single" w:color="auto" w:sz="8"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3663.2408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235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22</w:t>
            </w:r>
          </w:p>
        </w:tc>
        <w:tc>
          <w:tcPr>
            <w:tcW w:w="6268" w:type="dxa"/>
            <w:tcBorders>
              <w:top w:val="nil"/>
              <w:left w:val="single" w:color="auto" w:sz="8" w:space="0"/>
              <w:bottom w:val="single" w:color="auto" w:sz="8" w:space="0"/>
              <w:right w:val="single" w:color="auto" w:sz="8"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4053.1800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235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23</w:t>
            </w:r>
          </w:p>
        </w:tc>
        <w:tc>
          <w:tcPr>
            <w:tcW w:w="6268" w:type="dxa"/>
            <w:tcBorders>
              <w:top w:val="nil"/>
              <w:left w:val="single" w:color="auto" w:sz="8" w:space="0"/>
              <w:bottom w:val="single" w:color="auto" w:sz="8" w:space="0"/>
              <w:right w:val="single" w:color="auto" w:sz="8"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4388.8313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235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24</w:t>
            </w:r>
          </w:p>
        </w:tc>
        <w:tc>
          <w:tcPr>
            <w:tcW w:w="6268" w:type="dxa"/>
            <w:tcBorders>
              <w:top w:val="nil"/>
              <w:left w:val="single" w:color="auto" w:sz="8" w:space="0"/>
              <w:bottom w:val="single" w:color="auto" w:sz="8" w:space="0"/>
              <w:right w:val="single" w:color="auto" w:sz="8"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5306.0930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235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2025</w:t>
            </w:r>
          </w:p>
        </w:tc>
        <w:tc>
          <w:tcPr>
            <w:tcW w:w="6268" w:type="dxa"/>
            <w:tcBorders>
              <w:top w:val="nil"/>
              <w:left w:val="single" w:color="auto" w:sz="8" w:space="0"/>
              <w:bottom w:val="single" w:color="auto" w:sz="8" w:space="0"/>
              <w:right w:val="single" w:color="auto" w:sz="8"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5371.5125 </w:t>
            </w:r>
          </w:p>
        </w:tc>
      </w:tr>
    </w:tbl>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1</w:t>
      </w:r>
      <w:r>
        <w:rPr>
          <w:rFonts w:eastAsia="黑体"/>
          <w:bCs/>
          <w:color w:val="000000" w:themeColor="text1"/>
          <w:sz w:val="30"/>
          <w:szCs w:val="30"/>
          <w:lang w:bidi="en-US"/>
        </w:rPr>
        <w:t>.3</w:t>
      </w:r>
      <w:r>
        <w:rPr>
          <w:rFonts w:hint="eastAsia" w:eastAsia="黑体"/>
          <w:bCs/>
          <w:color w:val="000000" w:themeColor="text1"/>
          <w:sz w:val="30"/>
          <w:szCs w:val="30"/>
          <w:lang w:bidi="en-US"/>
        </w:rPr>
        <w:t>.3</w:t>
      </w:r>
      <w:r>
        <w:rPr>
          <w:rFonts w:eastAsia="黑体"/>
          <w:bCs/>
          <w:color w:val="000000" w:themeColor="text1"/>
          <w:sz w:val="30"/>
          <w:szCs w:val="30"/>
          <w:lang w:bidi="en-US"/>
        </w:rPr>
        <w:t>灰色预测</w:t>
      </w:r>
      <w:r>
        <w:rPr>
          <w:rFonts w:hint="eastAsia" w:eastAsia="黑体"/>
          <w:bCs/>
          <w:color w:val="000000" w:themeColor="text1"/>
          <w:sz w:val="30"/>
          <w:szCs w:val="30"/>
          <w:lang w:bidi="en-US"/>
        </w:rPr>
        <w:t>模型</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采用灰色预测分析软件</w:t>
      </w:r>
      <w:r>
        <w:rPr>
          <w:rFonts w:hint="eastAsia"/>
          <w:color w:val="000000" w:themeColor="text1"/>
          <w:kern w:val="0"/>
          <w:sz w:val="28"/>
        </w:rPr>
        <w:t>，</w:t>
      </w:r>
      <w:r>
        <w:rPr>
          <w:color w:val="000000" w:themeColor="text1"/>
          <w:kern w:val="0"/>
          <w:sz w:val="28"/>
        </w:rPr>
        <w:t>对原始数据进行模型</w:t>
      </w:r>
      <w:r>
        <w:rPr>
          <w:rFonts w:hint="eastAsia"/>
          <w:color w:val="000000" w:themeColor="text1"/>
          <w:kern w:val="0"/>
          <w:sz w:val="28"/>
        </w:rPr>
        <w:t>GM(</w:t>
      </w:r>
      <w:r>
        <w:rPr>
          <w:color w:val="000000" w:themeColor="text1"/>
          <w:kern w:val="0"/>
          <w:sz w:val="28"/>
        </w:rPr>
        <w:t>1</w:t>
      </w:r>
      <w:r>
        <w:rPr>
          <w:rFonts w:hint="eastAsia"/>
          <w:color w:val="000000" w:themeColor="text1"/>
          <w:kern w:val="0"/>
          <w:sz w:val="28"/>
        </w:rPr>
        <w:t>，1)分析，运行结果如下</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第[1]步，原始序列的初始化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初始化后的序列：199.71,295.75, 440.38,745.70, 1100.16, 1627.13, 2201.90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第[2]步，原始序列的1-AGO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1-AGO序列：</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199.71,495.46,935.84,1681.54,2781.70,4408.83,6610.73,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第[3]步，1-AGO的紧邻均值生成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紧邻均值生成序列：</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347.59,715.65,1308.69,2231.62,3595.27,5509.78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第[4]步，发展系数和灰色作用量的计算 </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 xml:space="preserve">a=-0.37    b=217.63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第[5]步，模拟值的计算 </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199.71,353.80,513.45,745.14,1081.36,1569.31,2277.43,</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 xml:space="preserve">第[6]步，计算残差 </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残差=18111.12</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平均相对误差</w:t>
      </w:r>
      <w:r>
        <w:rPr>
          <w:rFonts w:hint="eastAsia"/>
          <w:color w:val="000000" w:themeColor="text1"/>
          <w:kern w:val="0"/>
          <w:sz w:val="28"/>
        </w:rPr>
        <w:t>=</w:t>
      </w:r>
      <w:r>
        <w:rPr>
          <w:color w:val="000000" w:themeColor="text1"/>
          <w:kern w:val="0"/>
          <w:sz w:val="28"/>
        </w:rPr>
        <w:t>6.42</w:t>
      </w:r>
      <w:r>
        <w:rPr>
          <w:rFonts w:hint="eastAsia"/>
          <w:color w:val="000000" w:themeColor="text1"/>
          <w:kern w:val="0"/>
          <w:sz w:val="28"/>
        </w:rPr>
        <w:t>%</w:t>
      </w:r>
    </w:p>
    <w:p>
      <w:pPr>
        <w:snapToGri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color w:val="000000" w:themeColor="text1"/>
          <w:kern w:val="0"/>
          <w:sz w:val="28"/>
        </w:rPr>
        <w:t>系数</w:t>
      </w:r>
      <w:r>
        <w:rPr>
          <w:rFonts w:hint="eastAsia"/>
          <w:color w:val="000000" w:themeColor="text1"/>
          <w:kern w:val="0"/>
          <w:sz w:val="28"/>
        </w:rPr>
        <w:t>=</w:t>
      </w:r>
      <w:r>
        <w:rPr>
          <w:color w:val="000000" w:themeColor="text1"/>
          <w:kern w:val="0"/>
          <w:sz w:val="28"/>
        </w:rPr>
        <w:t>243.780</w:t>
      </w:r>
    </w:p>
    <w:p>
      <w:pPr>
        <w:autoSpaceDE w:val="0"/>
        <w:autoSpaceDN w:val="0"/>
        <w:adjustRightInd w:val="0"/>
        <w:spacing w:before="0" w:after="0" w:line="360" w:lineRule="auto"/>
        <w:ind w:left="0" w:firstLine="482" w:firstLineChars="200"/>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4"/>
          <w:szCs w:val="24"/>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13</w:t>
      </w:r>
      <w:r>
        <w:rPr>
          <w:rFonts w:hint="eastAsia" w:asciiTheme="minorEastAsia" w:hAnsiTheme="minorEastAsia" w:eastAsiaTheme="minorEastAsia"/>
          <w:b/>
          <w:color w:val="000000" w:themeColor="text1"/>
          <w:sz w:val="24"/>
          <w:szCs w:val="24"/>
        </w:rPr>
        <w:t xml:space="preserve"> GM(</w:t>
      </w:r>
      <w:r>
        <w:rPr>
          <w:rFonts w:asciiTheme="minorEastAsia" w:hAnsiTheme="minorEastAsia" w:eastAsiaTheme="minorEastAsia"/>
          <w:b/>
          <w:color w:val="000000" w:themeColor="text1"/>
          <w:sz w:val="24"/>
          <w:szCs w:val="24"/>
        </w:rPr>
        <w:t>1</w:t>
      </w:r>
      <w:r>
        <w:rPr>
          <w:rFonts w:hint="eastAsia" w:asciiTheme="minorEastAsia" w:hAnsiTheme="minorEastAsia" w:eastAsiaTheme="minorEastAsia"/>
          <w:b/>
          <w:color w:val="000000" w:themeColor="text1"/>
          <w:sz w:val="24"/>
          <w:szCs w:val="24"/>
        </w:rPr>
        <w:t>，1)模型预测误差分析</w:t>
      </w:r>
    </w:p>
    <w:tbl>
      <w:tblPr>
        <w:tblStyle w:val="18"/>
        <w:tblW w:w="82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263"/>
        <w:gridCol w:w="2108"/>
        <w:gridCol w:w="1535"/>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853"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年份</w:t>
            </w:r>
          </w:p>
        </w:tc>
        <w:tc>
          <w:tcPr>
            <w:tcW w:w="2263"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Y快递业务量(万件)</w:t>
            </w:r>
          </w:p>
        </w:tc>
        <w:tc>
          <w:tcPr>
            <w:tcW w:w="2108" w:type="dxa"/>
            <w:shd w:val="clear" w:color="auto" w:fill="auto"/>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拟合值</w:t>
            </w:r>
          </w:p>
        </w:tc>
        <w:tc>
          <w:tcPr>
            <w:tcW w:w="1535" w:type="dxa"/>
            <w:shd w:val="clear" w:color="auto" w:fill="auto"/>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残差</w:t>
            </w:r>
          </w:p>
        </w:tc>
        <w:tc>
          <w:tcPr>
            <w:tcW w:w="1532" w:type="dxa"/>
            <w:shd w:val="clear" w:color="auto" w:fill="auto"/>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绝对误差比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85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2011</w:t>
            </w:r>
          </w:p>
        </w:tc>
        <w:tc>
          <w:tcPr>
            <w:tcW w:w="226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199.71</w:t>
            </w:r>
          </w:p>
        </w:tc>
        <w:tc>
          <w:tcPr>
            <w:tcW w:w="2108"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199.71</w:t>
            </w:r>
          </w:p>
        </w:tc>
        <w:tc>
          <w:tcPr>
            <w:tcW w:w="15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532"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85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2012</w:t>
            </w:r>
          </w:p>
        </w:tc>
        <w:tc>
          <w:tcPr>
            <w:tcW w:w="226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295.75</w:t>
            </w:r>
          </w:p>
        </w:tc>
        <w:tc>
          <w:tcPr>
            <w:tcW w:w="2108"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353.80</w:t>
            </w:r>
          </w:p>
        </w:tc>
        <w:tc>
          <w:tcPr>
            <w:tcW w:w="15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58.05</w:t>
            </w:r>
          </w:p>
        </w:tc>
        <w:tc>
          <w:tcPr>
            <w:tcW w:w="1532"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85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2013</w:t>
            </w:r>
          </w:p>
        </w:tc>
        <w:tc>
          <w:tcPr>
            <w:tcW w:w="226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440.38</w:t>
            </w:r>
          </w:p>
        </w:tc>
        <w:tc>
          <w:tcPr>
            <w:tcW w:w="2108"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513.45</w:t>
            </w:r>
          </w:p>
        </w:tc>
        <w:tc>
          <w:tcPr>
            <w:tcW w:w="15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73.07</w:t>
            </w:r>
          </w:p>
        </w:tc>
        <w:tc>
          <w:tcPr>
            <w:tcW w:w="1532"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85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2014</w:t>
            </w:r>
          </w:p>
        </w:tc>
        <w:tc>
          <w:tcPr>
            <w:tcW w:w="226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745.70</w:t>
            </w:r>
          </w:p>
        </w:tc>
        <w:tc>
          <w:tcPr>
            <w:tcW w:w="2108"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745.14</w:t>
            </w:r>
          </w:p>
        </w:tc>
        <w:tc>
          <w:tcPr>
            <w:tcW w:w="15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-0.56</w:t>
            </w:r>
          </w:p>
        </w:tc>
        <w:tc>
          <w:tcPr>
            <w:tcW w:w="1532"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85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2015</w:t>
            </w:r>
          </w:p>
        </w:tc>
        <w:tc>
          <w:tcPr>
            <w:tcW w:w="226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1100.16</w:t>
            </w:r>
          </w:p>
        </w:tc>
        <w:tc>
          <w:tcPr>
            <w:tcW w:w="2108"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1081.36</w:t>
            </w:r>
          </w:p>
        </w:tc>
        <w:tc>
          <w:tcPr>
            <w:tcW w:w="15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-18.8</w:t>
            </w:r>
          </w:p>
        </w:tc>
        <w:tc>
          <w:tcPr>
            <w:tcW w:w="1532"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85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2016</w:t>
            </w:r>
          </w:p>
        </w:tc>
        <w:tc>
          <w:tcPr>
            <w:tcW w:w="226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1627.13</w:t>
            </w:r>
          </w:p>
        </w:tc>
        <w:tc>
          <w:tcPr>
            <w:tcW w:w="2108"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1569.31</w:t>
            </w:r>
          </w:p>
        </w:tc>
        <w:tc>
          <w:tcPr>
            <w:tcW w:w="15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-57.82</w:t>
            </w:r>
          </w:p>
        </w:tc>
        <w:tc>
          <w:tcPr>
            <w:tcW w:w="1532"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85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2017</w:t>
            </w:r>
          </w:p>
        </w:tc>
        <w:tc>
          <w:tcPr>
            <w:tcW w:w="2263"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2201.90</w:t>
            </w:r>
          </w:p>
        </w:tc>
        <w:tc>
          <w:tcPr>
            <w:tcW w:w="2108"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2277.43</w:t>
            </w:r>
          </w:p>
        </w:tc>
        <w:tc>
          <w:tcPr>
            <w:tcW w:w="15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75.53</w:t>
            </w:r>
          </w:p>
        </w:tc>
        <w:tc>
          <w:tcPr>
            <w:tcW w:w="1532"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3.43%</w:t>
            </w:r>
          </w:p>
        </w:tc>
      </w:tr>
    </w:tbl>
    <w:p>
      <w:pPr>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利用灰色预测方法对</w:t>
      </w:r>
      <w:r>
        <w:rPr>
          <w:rFonts w:hint="eastAsia" w:asciiTheme="minorEastAsia" w:hAnsiTheme="minorEastAsia" w:eastAsiaTheme="minorEastAsia"/>
          <w:color w:val="000000" w:themeColor="text1"/>
          <w:sz w:val="28"/>
          <w:szCs w:val="28"/>
        </w:rPr>
        <w:t>2019-</w:t>
      </w:r>
      <w:r>
        <w:rPr>
          <w:rFonts w:asciiTheme="minorEastAsia" w:hAnsiTheme="minorEastAsia" w:eastAsiaTheme="minorEastAsia"/>
          <w:color w:val="000000" w:themeColor="text1"/>
          <w:sz w:val="28"/>
          <w:szCs w:val="28"/>
        </w:rPr>
        <w:t>2025年进行预测结果见表</w:t>
      </w:r>
      <w:r>
        <w:rPr>
          <w:rFonts w:hint="eastAsia" w:asciiTheme="minorEastAsia" w:hAnsiTheme="minorEastAsia" w:eastAsiaTheme="minorEastAsia"/>
          <w:color w:val="000000" w:themeColor="text1"/>
          <w:sz w:val="28"/>
          <w:szCs w:val="28"/>
        </w:rPr>
        <w:t>1-</w:t>
      </w:r>
      <w:r>
        <w:rPr>
          <w:rFonts w:asciiTheme="minorEastAsia" w:hAnsiTheme="minorEastAsia" w:eastAsiaTheme="minorEastAsia"/>
          <w:color w:val="000000" w:themeColor="text1"/>
          <w:sz w:val="28"/>
          <w:szCs w:val="28"/>
        </w:rPr>
        <w:t>14</w:t>
      </w:r>
      <w:r>
        <w:rPr>
          <w:rFonts w:hint="eastAsia" w:asciiTheme="minorEastAsia" w:hAnsiTheme="minorEastAsia" w:eastAsiaTheme="minorEastAsia"/>
          <w:color w:val="000000" w:themeColor="text1"/>
          <w:sz w:val="28"/>
          <w:szCs w:val="28"/>
        </w:rPr>
        <w:t>。</w:t>
      </w:r>
    </w:p>
    <w:p>
      <w:pPr>
        <w:spacing w:before="0" w:after="0" w:line="360" w:lineRule="auto"/>
        <w:ind w:left="0" w:firstLine="562" w:firstLineChars="200"/>
        <w:jc w:val="center"/>
        <w:rPr>
          <w:rFonts w:asciiTheme="minorEastAsia" w:hAnsiTheme="minorEastAsia" w:eastAsiaTheme="minorEastAsia"/>
          <w:b/>
          <w:color w:val="000000" w:themeColor="text1"/>
          <w:sz w:val="24"/>
          <w:szCs w:val="24"/>
        </w:rPr>
      </w:pPr>
      <w:r>
        <w:rPr>
          <w:rFonts w:asciiTheme="minorEastAsia" w:hAnsiTheme="minorEastAsia" w:eastAsiaTheme="minorEastAsia"/>
          <w:b/>
          <w:color w:val="000000" w:themeColor="text1"/>
          <w:sz w:val="28"/>
          <w:szCs w:val="28"/>
        </w:rPr>
        <w:t>表</w:t>
      </w:r>
      <w:r>
        <w:rPr>
          <w:rFonts w:hint="eastAsia" w:asciiTheme="minorEastAsia" w:hAnsiTheme="minorEastAsia" w:eastAsiaTheme="minorEastAsia"/>
          <w:b/>
          <w:color w:val="000000" w:themeColor="text1"/>
          <w:sz w:val="24"/>
          <w:szCs w:val="24"/>
        </w:rPr>
        <w:t>1-</w:t>
      </w:r>
      <w:r>
        <w:rPr>
          <w:rFonts w:asciiTheme="minorEastAsia" w:hAnsiTheme="minorEastAsia" w:eastAsiaTheme="minorEastAsia"/>
          <w:b/>
          <w:color w:val="000000" w:themeColor="text1"/>
          <w:sz w:val="24"/>
          <w:szCs w:val="24"/>
        </w:rPr>
        <w:t>14 灰色预测方法的</w:t>
      </w:r>
      <w:r>
        <w:rPr>
          <w:rFonts w:hint="eastAsia" w:asciiTheme="minorEastAsia" w:hAnsiTheme="minorEastAsia" w:eastAsiaTheme="minorEastAsia"/>
          <w:b/>
          <w:color w:val="000000" w:themeColor="text1"/>
          <w:sz w:val="24"/>
          <w:szCs w:val="24"/>
        </w:rPr>
        <w:t>预测值</w:t>
      </w:r>
    </w:p>
    <w:tbl>
      <w:tblPr>
        <w:tblStyle w:val="18"/>
        <w:tblW w:w="83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6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2286"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年份</w:t>
            </w:r>
          </w:p>
        </w:tc>
        <w:tc>
          <w:tcPr>
            <w:tcW w:w="6083" w:type="dxa"/>
            <w:tcBorders>
              <w:bottom w:val="single" w:color="auto" w:sz="4" w:space="0"/>
            </w:tcBorders>
            <w:shd w:val="clear" w:color="auto" w:fill="auto"/>
            <w:vAlign w:val="center"/>
          </w:tcPr>
          <w:p>
            <w:pPr>
              <w:spacing w:before="0" w:after="0" w:line="300" w:lineRule="auto"/>
              <w:ind w:left="0" w:firstLine="0"/>
              <w:jc w:val="center"/>
              <w:rPr>
                <w:rFonts w:ascii="Times New Roman" w:hAnsi="Times New Roman"/>
                <w:b/>
                <w:bCs/>
                <w:color w:val="000000" w:themeColor="text1"/>
                <w:kern w:val="0"/>
                <w:szCs w:val="22"/>
              </w:rPr>
            </w:pPr>
            <w:r>
              <w:rPr>
                <w:rFonts w:hint="eastAsia" w:ascii="Times New Roman" w:hAnsi="Times New Roman"/>
                <w:b/>
                <w:bCs/>
                <w:color w:val="000000" w:themeColor="text1"/>
                <w:kern w:val="0"/>
                <w:szCs w:val="22"/>
              </w:rPr>
              <w:t>快递业务量(万件)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228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w:t>
            </w:r>
            <w:r>
              <w:rPr>
                <w:rFonts w:ascii="Times New Roman" w:hAnsi="Times New Roman"/>
                <w:color w:val="000000" w:themeColor="text1"/>
                <w:sz w:val="24"/>
                <w:szCs w:val="24"/>
              </w:rPr>
              <w:t>9</w:t>
            </w:r>
          </w:p>
        </w:tc>
        <w:tc>
          <w:tcPr>
            <w:tcW w:w="6083" w:type="dxa"/>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2877.8580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228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20</w:t>
            </w:r>
          </w:p>
        </w:tc>
        <w:tc>
          <w:tcPr>
            <w:tcW w:w="6083" w:type="dxa"/>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3480.3650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228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21</w:t>
            </w:r>
          </w:p>
        </w:tc>
        <w:tc>
          <w:tcPr>
            <w:tcW w:w="6083" w:type="dxa"/>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4040.6480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228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22</w:t>
            </w:r>
          </w:p>
        </w:tc>
        <w:tc>
          <w:tcPr>
            <w:tcW w:w="6083" w:type="dxa"/>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4397.9370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228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23</w:t>
            </w:r>
          </w:p>
        </w:tc>
        <w:tc>
          <w:tcPr>
            <w:tcW w:w="6083" w:type="dxa"/>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4680.4428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228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24</w:t>
            </w:r>
          </w:p>
        </w:tc>
        <w:tc>
          <w:tcPr>
            <w:tcW w:w="6083" w:type="dxa"/>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4939.9312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2286"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2025</w:t>
            </w:r>
          </w:p>
        </w:tc>
        <w:tc>
          <w:tcPr>
            <w:tcW w:w="6083" w:type="dxa"/>
            <w:shd w:val="clear" w:color="000000"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5376.7356</w:t>
            </w:r>
          </w:p>
        </w:tc>
      </w:tr>
    </w:tbl>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1</w:t>
      </w:r>
      <w:r>
        <w:rPr>
          <w:rFonts w:eastAsia="黑体"/>
          <w:bCs/>
          <w:color w:val="000000" w:themeColor="text1"/>
          <w:sz w:val="30"/>
          <w:szCs w:val="30"/>
          <w:lang w:bidi="en-US"/>
        </w:rPr>
        <w:t xml:space="preserve">.3.4 </w:t>
      </w:r>
      <w:r>
        <w:rPr>
          <w:rFonts w:hint="eastAsia" w:eastAsia="黑体"/>
          <w:bCs/>
          <w:color w:val="000000" w:themeColor="text1"/>
          <w:sz w:val="30"/>
          <w:szCs w:val="30"/>
          <w:lang w:bidi="en-US"/>
        </w:rPr>
        <w:t>s</w:t>
      </w:r>
      <w:r>
        <w:rPr>
          <w:rFonts w:eastAsia="黑体"/>
          <w:bCs/>
          <w:color w:val="000000" w:themeColor="text1"/>
          <w:sz w:val="30"/>
          <w:szCs w:val="30"/>
          <w:lang w:bidi="en-US"/>
        </w:rPr>
        <w:t>hapley组合预测模型</w:t>
      </w:r>
    </w:p>
    <w:p>
      <w:pPr>
        <w:autoSpaceDE w:val="0"/>
        <w:autoSpaceDN w:val="0"/>
        <w:adjustRightIn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s</w:t>
      </w:r>
      <w:r>
        <w:rPr>
          <w:rFonts w:hint="eastAsia" w:asciiTheme="minorEastAsia" w:hAnsiTheme="minorEastAsia" w:eastAsiaTheme="minorEastAsia"/>
          <w:color w:val="000000" w:themeColor="text1"/>
          <w:sz w:val="28"/>
          <w:szCs w:val="28"/>
        </w:rPr>
        <w:t>hapley组合预测模型计算公式为：</w:t>
      </w:r>
    </w:p>
    <w:p>
      <w:pPr>
        <w:spacing w:before="0" w:after="0" w:line="360" w:lineRule="auto"/>
        <w:ind w:left="0" w:firstLine="562" w:firstLineChars="200"/>
        <w:jc w:val="left"/>
        <w:rPr>
          <w:rFonts w:asciiTheme="minorEastAsia" w:hAnsiTheme="minorEastAsia" w:eastAsiaTheme="minorEastAsia"/>
          <w:b/>
          <w:color w:val="000000" w:themeColor="text1"/>
          <w:sz w:val="28"/>
          <w:szCs w:val="28"/>
        </w:rPr>
      </w:pPr>
      <w:r>
        <w:rPr>
          <w:rFonts w:asciiTheme="minorEastAsia" w:hAnsiTheme="minorEastAsia" w:eastAsiaTheme="minorEastAsia"/>
          <w:b/>
          <w:color w:val="000000" w:themeColor="text1"/>
          <w:sz w:val="28"/>
          <w:szCs w:val="28"/>
        </w:rPr>
        <w:t xml:space="preserve">            </w:t>
      </w:r>
      <w:r>
        <w:rPr>
          <w:rFonts w:hint="eastAsia" w:asciiTheme="minorEastAsia" w:hAnsiTheme="minorEastAsia" w:eastAsiaTheme="minorEastAsia"/>
          <w:b/>
          <w:color w:val="000000" w:themeColor="text1"/>
          <w:position w:val="-10"/>
          <w:sz w:val="28"/>
          <w:szCs w:val="28"/>
        </w:rPr>
        <w:object>
          <v:shape id="_x0000_i1133" o:spt="75" type="#_x0000_t75" style="height:15.9pt;width:117.8pt;" o:ole="t" filled="f" o:preferrelative="t" stroked="f" coordsize="21600,21600">
            <v:path/>
            <v:fill on="f" focussize="0,0"/>
            <v:stroke on="f" joinstyle="miter"/>
            <v:imagedata r:id="rId244" o:title=""/>
            <o:lock v:ext="edit" aspectratio="t"/>
            <w10:wrap type="none"/>
            <w10:anchorlock/>
          </v:shape>
          <o:OLEObject Type="Embed" ProgID="Equation.3" ShapeID="_x0000_i1133" DrawAspect="Content" ObjectID="_1468075833" r:id="rId243">
            <o:LockedField>false</o:LockedField>
          </o:OLEObject>
        </w:object>
      </w:r>
      <w:r>
        <w:rPr>
          <w:rFonts w:asciiTheme="minorEastAsia" w:hAnsiTheme="minorEastAsia" w:eastAsiaTheme="minorEastAsia"/>
          <w:b/>
          <w:color w:val="000000" w:themeColor="text1"/>
          <w:sz w:val="28"/>
          <w:szCs w:val="28"/>
        </w:rPr>
        <w:t xml:space="preserve">                 </w:t>
      </w:r>
      <w:r>
        <w:rPr>
          <w:rFonts w:hint="eastAsia" w:ascii="Times New Roman" w:hAnsi="Times New Roman" w:eastAsiaTheme="minorEastAsia"/>
          <w:color w:val="000000" w:themeColor="text1"/>
          <w:sz w:val="28"/>
          <w:szCs w:val="28"/>
        </w:rPr>
        <w:t>（1-</w:t>
      </w:r>
      <w:r>
        <w:rPr>
          <w:rFonts w:ascii="Times New Roman" w:hAnsi="Times New Roman" w:eastAsiaTheme="minorEastAsia"/>
          <w:color w:val="000000" w:themeColor="text1"/>
          <w:sz w:val="28"/>
          <w:szCs w:val="28"/>
        </w:rPr>
        <w:t>24</w:t>
      </w:r>
      <w:r>
        <w:rPr>
          <w:rFonts w:hint="eastAsia" w:ascii="Times New Roman" w:hAnsi="Times New Roman" w:eastAsiaTheme="minorEastAsia"/>
          <w:color w:val="000000" w:themeColor="text1"/>
          <w:sz w:val="28"/>
          <w:szCs w:val="28"/>
        </w:rPr>
        <w:t>）</w:t>
      </w:r>
    </w:p>
    <w:p>
      <w:pPr>
        <w:widowControl/>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kern w:val="0"/>
          <w:position w:val="-10"/>
          <w:sz w:val="28"/>
          <w:szCs w:val="28"/>
        </w:rPr>
        <w:object>
          <v:shape id="_x0000_i1134" o:spt="75" type="#_x0000_t75" style="height:15.9pt;width:40.2pt;" o:ole="t" filled="f" o:preferrelative="t" stroked="f" coordsize="21600,21600">
            <v:path/>
            <v:fill on="f" focussize="0,0"/>
            <v:stroke on="f" joinstyle="miter"/>
            <v:imagedata r:id="rId246" o:title=""/>
            <o:lock v:ext="edit" aspectratio="t"/>
            <w10:wrap type="none"/>
            <w10:anchorlock/>
          </v:shape>
          <o:OLEObject Type="Embed" ProgID="Equation.3" ShapeID="_x0000_i1134" DrawAspect="Content" ObjectID="_1468075834" r:id="rId245">
            <o:LockedField>false</o:LockedField>
          </o:OLEObject>
        </w:object>
      </w:r>
      <w:r>
        <w:rPr>
          <w:rFonts w:hint="eastAsia" w:asciiTheme="minorEastAsia" w:hAnsiTheme="minorEastAsia" w:eastAsiaTheme="minorEastAsia"/>
          <w:color w:val="000000" w:themeColor="text1"/>
          <w:sz w:val="28"/>
          <w:szCs w:val="28"/>
        </w:rPr>
        <w:t>代表组合预测值。</w:t>
      </w:r>
    </w:p>
    <w:p>
      <w:pPr>
        <w:widowControl/>
        <w:spacing w:before="0" w:after="0" w:line="360" w:lineRule="auto"/>
        <w:ind w:left="0" w:firstLine="560" w:firstLineChars="200"/>
        <w:jc w:val="lef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color w:val="000000" w:themeColor="text1"/>
          <w:kern w:val="0"/>
          <w:position w:val="-10"/>
          <w:sz w:val="28"/>
          <w:szCs w:val="28"/>
        </w:rPr>
        <w:object>
          <v:shape id="_x0000_i1135" o:spt="75" type="#_x0000_t75" style="height:13.1pt;width:41.15pt;" o:ole="t" filled="f" o:preferrelative="t" stroked="f" coordsize="21600,21600">
            <v:path/>
            <v:fill on="f" focussize="0,0"/>
            <v:stroke on="f" joinstyle="miter"/>
            <v:imagedata r:id="rId248" o:title=""/>
            <o:lock v:ext="edit" aspectratio="t"/>
            <w10:wrap type="none"/>
            <w10:anchorlock/>
          </v:shape>
          <o:OLEObject Type="Embed" ProgID="Equation.3" ShapeID="_x0000_i1135" DrawAspect="Content" ObjectID="_1468075835" r:id="rId247">
            <o:LockedField>false</o:LockedField>
          </o:OLEObject>
        </w:object>
      </w:r>
      <w:r>
        <w:rPr>
          <w:rFonts w:hint="eastAsia" w:cs="宋体" w:asciiTheme="minorEastAsia" w:hAnsiTheme="minorEastAsia" w:eastAsiaTheme="minorEastAsia"/>
          <w:color w:val="000000" w:themeColor="text1"/>
          <w:kern w:val="0"/>
          <w:sz w:val="28"/>
          <w:szCs w:val="28"/>
        </w:rPr>
        <w:t>代表灰色模型在组合预测模型中占的比重。</w:t>
      </w:r>
    </w:p>
    <w:p>
      <w:pPr>
        <w:widowControl/>
        <w:spacing w:before="0" w:after="0" w:line="360" w:lineRule="auto"/>
        <w:ind w:left="0" w:firstLine="560" w:firstLineChars="200"/>
        <w:jc w:val="lef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color w:val="000000" w:themeColor="text1"/>
          <w:kern w:val="0"/>
          <w:position w:val="-10"/>
          <w:sz w:val="28"/>
          <w:szCs w:val="28"/>
        </w:rPr>
        <w:object>
          <v:shape id="_x0000_i1136" o:spt="75" type="#_x0000_t75" style="height:13.1pt;width:42.1pt;" o:ole="t" filled="f" o:preferrelative="t" stroked="f" coordsize="21600,21600">
            <v:path/>
            <v:fill on="f" focussize="0,0"/>
            <v:stroke on="f" joinstyle="miter"/>
            <v:imagedata r:id="rId250" o:title=""/>
            <o:lock v:ext="edit" aspectratio="t"/>
            <w10:wrap type="none"/>
            <w10:anchorlock/>
          </v:shape>
          <o:OLEObject Type="Embed" ProgID="Equation.3" ShapeID="_x0000_i1136" DrawAspect="Content" ObjectID="_1468075836" r:id="rId249">
            <o:LockedField>false</o:LockedField>
          </o:OLEObject>
        </w:object>
      </w:r>
      <w:r>
        <w:rPr>
          <w:rFonts w:hint="eastAsia" w:cs="宋体" w:asciiTheme="minorEastAsia" w:hAnsiTheme="minorEastAsia" w:eastAsiaTheme="minorEastAsia"/>
          <w:color w:val="000000" w:themeColor="text1"/>
          <w:kern w:val="0"/>
          <w:sz w:val="28"/>
          <w:szCs w:val="28"/>
        </w:rPr>
        <w:t>代表二次多项式趋势回归模型在组合预测模型中占的比重。</w:t>
      </w:r>
    </w:p>
    <w:p>
      <w:pPr>
        <w:widowControl/>
        <w:spacing w:before="0" w:after="0" w:line="360" w:lineRule="auto"/>
        <w:ind w:left="0" w:firstLine="560" w:firstLineChars="200"/>
        <w:jc w:val="lef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color w:val="000000" w:themeColor="text1"/>
          <w:kern w:val="0"/>
          <w:position w:val="-10"/>
          <w:sz w:val="28"/>
          <w:szCs w:val="28"/>
        </w:rPr>
        <w:object>
          <v:shape id="_x0000_i1137" o:spt="75" type="#_x0000_t75" style="height:13.1pt;width:41.15pt;" o:ole="t" filled="f" o:preferrelative="t" stroked="f" coordsize="21600,21600">
            <v:path/>
            <v:fill on="f" focussize="0,0"/>
            <v:stroke on="f" joinstyle="miter"/>
            <v:imagedata r:id="rId252" o:title=""/>
            <o:lock v:ext="edit" aspectratio="t"/>
            <w10:wrap type="none"/>
            <w10:anchorlock/>
          </v:shape>
          <o:OLEObject Type="Embed" ProgID="Equation.3" ShapeID="_x0000_i1137" DrawAspect="Content" ObjectID="_1468075837" r:id="rId251">
            <o:LockedField>false</o:LockedField>
          </o:OLEObject>
        </w:object>
      </w:r>
      <w:r>
        <w:rPr>
          <w:rFonts w:hint="eastAsia" w:cs="宋体" w:asciiTheme="minorEastAsia" w:hAnsiTheme="minorEastAsia" w:eastAsiaTheme="minorEastAsia"/>
          <w:color w:val="000000" w:themeColor="text1"/>
          <w:kern w:val="0"/>
          <w:sz w:val="28"/>
          <w:szCs w:val="28"/>
        </w:rPr>
        <w:t>代表多元线性回归模型在组合预测模型中占的比重。</w:t>
      </w:r>
    </w:p>
    <w:p>
      <w:pPr>
        <w:widowControl/>
        <w:spacing w:before="0" w:after="0" w:line="360" w:lineRule="auto"/>
        <w:ind w:left="0" w:firstLine="560" w:firstLineChars="200"/>
        <w:jc w:val="lef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color w:val="000000" w:themeColor="text1"/>
          <w:kern w:val="0"/>
          <w:position w:val="-10"/>
          <w:sz w:val="28"/>
          <w:szCs w:val="28"/>
        </w:rPr>
        <w:object>
          <v:shape id="_x0000_i1138" o:spt="75" type="#_x0000_t75" style="height:15.9pt;width:43pt;" o:ole="t" filled="f" o:preferrelative="t" stroked="f" coordsize="21600,21600">
            <v:path/>
            <v:fill on="f" focussize="0,0"/>
            <v:stroke on="f" joinstyle="miter"/>
            <v:imagedata r:id="rId254" o:title=""/>
            <o:lock v:ext="edit" aspectratio="t"/>
            <w10:wrap type="none"/>
            <w10:anchorlock/>
          </v:shape>
          <o:OLEObject Type="Embed" ProgID="Equation.3" ShapeID="_x0000_i1138" DrawAspect="Content" ObjectID="_1468075838" r:id="rId253">
            <o:LockedField>false</o:LockedField>
          </o:OLEObject>
        </w:object>
      </w:r>
      <w:r>
        <w:rPr>
          <w:rFonts w:hint="eastAsia" w:cs="宋体" w:asciiTheme="minorEastAsia" w:hAnsiTheme="minorEastAsia" w:eastAsiaTheme="minorEastAsia"/>
          <w:color w:val="000000" w:themeColor="text1"/>
          <w:kern w:val="0"/>
          <w:sz w:val="28"/>
          <w:szCs w:val="28"/>
        </w:rPr>
        <w:t>代表灰色模型预测值。</w:t>
      </w:r>
    </w:p>
    <w:p>
      <w:pPr>
        <w:widowControl/>
        <w:spacing w:before="0" w:after="0" w:line="360" w:lineRule="auto"/>
        <w:ind w:left="0" w:firstLine="560" w:firstLineChars="200"/>
        <w:jc w:val="lef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color w:val="000000" w:themeColor="text1"/>
          <w:kern w:val="0"/>
          <w:position w:val="-10"/>
          <w:sz w:val="28"/>
          <w:szCs w:val="28"/>
        </w:rPr>
        <w:object>
          <v:shape id="_x0000_i1139" o:spt="75" type="#_x0000_t75" style="height:15.9pt;width:43.95pt;" o:ole="t" filled="f" o:preferrelative="t" stroked="f" coordsize="21600,21600">
            <v:path/>
            <v:fill on="f" focussize="0,0"/>
            <v:stroke on="f" joinstyle="miter"/>
            <v:imagedata r:id="rId256" o:title=""/>
            <o:lock v:ext="edit" aspectratio="t"/>
            <w10:wrap type="none"/>
            <w10:anchorlock/>
          </v:shape>
          <o:OLEObject Type="Embed" ProgID="Equation.3" ShapeID="_x0000_i1139" DrawAspect="Content" ObjectID="_1468075839" r:id="rId255">
            <o:LockedField>false</o:LockedField>
          </o:OLEObject>
        </w:object>
      </w:r>
      <w:r>
        <w:rPr>
          <w:rFonts w:hint="eastAsia" w:cs="宋体" w:asciiTheme="minorEastAsia" w:hAnsiTheme="minorEastAsia" w:eastAsiaTheme="minorEastAsia"/>
          <w:color w:val="000000" w:themeColor="text1"/>
          <w:kern w:val="0"/>
          <w:sz w:val="28"/>
          <w:szCs w:val="28"/>
        </w:rPr>
        <w:t>代表二次多项式趋势回归模型预测值。</w:t>
      </w:r>
    </w:p>
    <w:p>
      <w:pPr>
        <w:widowControl/>
        <w:spacing w:before="0" w:after="0" w:line="360" w:lineRule="auto"/>
        <w:ind w:left="0" w:firstLine="560" w:firstLineChars="200"/>
        <w:jc w:val="lef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color w:val="000000" w:themeColor="text1"/>
          <w:kern w:val="0"/>
          <w:position w:val="-10"/>
          <w:sz w:val="28"/>
          <w:szCs w:val="28"/>
        </w:rPr>
        <w:object>
          <v:shape id="_x0000_i1140" o:spt="75" type="#_x0000_t75" style="height:15.9pt;width:43pt;" o:ole="t" filled="f" o:preferrelative="t" stroked="f" coordsize="21600,21600">
            <v:path/>
            <v:fill on="f" focussize="0,0"/>
            <v:stroke on="f" joinstyle="miter"/>
            <v:imagedata r:id="rId258" o:title=""/>
            <o:lock v:ext="edit" aspectratio="t"/>
            <w10:wrap type="none"/>
            <w10:anchorlock/>
          </v:shape>
          <o:OLEObject Type="Embed" ProgID="Equation.3" ShapeID="_x0000_i1140" DrawAspect="Content" ObjectID="_1468075840" r:id="rId257">
            <o:LockedField>false</o:LockedField>
          </o:OLEObject>
        </w:object>
      </w:r>
      <w:r>
        <w:rPr>
          <w:rFonts w:hint="eastAsia" w:cs="宋体" w:asciiTheme="minorEastAsia" w:hAnsiTheme="minorEastAsia" w:eastAsiaTheme="minorEastAsia"/>
          <w:color w:val="000000" w:themeColor="text1"/>
          <w:kern w:val="0"/>
          <w:sz w:val="28"/>
          <w:szCs w:val="28"/>
        </w:rPr>
        <w:t>代表多元线性回归预测模型预测值。</w:t>
      </w:r>
    </w:p>
    <w:p>
      <w:pPr>
        <w:widowControl/>
        <w:spacing w:before="0" w:after="0" w:line="360" w:lineRule="auto"/>
        <w:ind w:left="0" w:firstLine="560" w:firstLineChars="200"/>
        <w:jc w:val="lef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color w:val="000000" w:themeColor="text1"/>
          <w:kern w:val="0"/>
          <w:position w:val="-10"/>
          <w:sz w:val="28"/>
          <w:szCs w:val="28"/>
        </w:rPr>
        <w:object>
          <v:shape id="_x0000_i1141" o:spt="75" type="#_x0000_t75" style="height:15.9pt;width:43pt;" o:ole="t" filled="f" o:preferrelative="t" stroked="f" coordsize="21600,21600">
            <v:path/>
            <v:fill on="f" focussize="0,0"/>
            <v:stroke on="f" joinstyle="miter"/>
            <v:imagedata r:id="rId260" o:title=""/>
            <o:lock v:ext="edit" aspectratio="t"/>
            <w10:wrap type="none"/>
            <w10:anchorlock/>
          </v:shape>
          <o:OLEObject Type="Embed" ProgID="Equation.3" ShapeID="_x0000_i1141" DrawAspect="Content" ObjectID="_1468075841" r:id="rId259">
            <o:LockedField>false</o:LockedField>
          </o:OLEObject>
        </w:object>
      </w:r>
      <w:r>
        <w:rPr>
          <w:rFonts w:hint="eastAsia" w:cs="宋体" w:asciiTheme="minorEastAsia" w:hAnsiTheme="minorEastAsia" w:eastAsiaTheme="minorEastAsia"/>
          <w:color w:val="000000" w:themeColor="text1"/>
          <w:kern w:val="0"/>
          <w:sz w:val="28"/>
          <w:szCs w:val="28"/>
        </w:rPr>
        <w:t>代表对应的从1开始到预测期序列，本规划中即为1，2...</w:t>
      </w:r>
      <w:r>
        <w:rPr>
          <w:rFonts w:cs="宋体" w:asciiTheme="minorEastAsia" w:hAnsiTheme="minorEastAsia" w:eastAsiaTheme="minorEastAsia"/>
          <w:color w:val="000000" w:themeColor="text1"/>
          <w:kern w:val="0"/>
          <w:sz w:val="28"/>
          <w:szCs w:val="28"/>
        </w:rPr>
        <w:t>7</w:t>
      </w:r>
      <w:r>
        <w:rPr>
          <w:rFonts w:hint="eastAsia" w:cs="宋体" w:asciiTheme="minorEastAsia" w:hAnsiTheme="minorEastAsia" w:eastAsiaTheme="minorEastAsia"/>
          <w:color w:val="000000" w:themeColor="text1"/>
          <w:kern w:val="0"/>
          <w:sz w:val="28"/>
          <w:szCs w:val="28"/>
        </w:rPr>
        <w:t>。</w:t>
      </w:r>
    </w:p>
    <w:p>
      <w:pPr>
        <w:widowControl/>
        <w:spacing w:before="0" w:after="0" w:line="240" w:lineRule="auto"/>
        <w:ind w:left="0" w:firstLine="0"/>
        <w:jc w:val="center"/>
        <w:rPr>
          <w:rFonts w:cs="宋体" w:asciiTheme="minorEastAsia" w:hAnsiTheme="minorEastAsia" w:eastAsiaTheme="minorEastAsia"/>
          <w:b/>
          <w:color w:val="000000" w:themeColor="text1"/>
          <w:kern w:val="0"/>
          <w:sz w:val="24"/>
          <w:szCs w:val="24"/>
        </w:rPr>
      </w:pPr>
      <w:r>
        <w:rPr>
          <w:rFonts w:hint="eastAsia" w:cs="宋体" w:asciiTheme="minorEastAsia" w:hAnsiTheme="minorEastAsia" w:eastAsiaTheme="minorEastAsia"/>
          <w:b/>
          <w:color w:val="000000" w:themeColor="text1"/>
          <w:kern w:val="0"/>
          <w:sz w:val="24"/>
          <w:szCs w:val="24"/>
        </w:rPr>
        <w:t>表1-</w:t>
      </w:r>
      <w:r>
        <w:rPr>
          <w:rFonts w:cs="宋体" w:asciiTheme="minorEastAsia" w:hAnsiTheme="minorEastAsia" w:eastAsiaTheme="minorEastAsia"/>
          <w:b/>
          <w:color w:val="000000" w:themeColor="text1"/>
          <w:kern w:val="0"/>
          <w:sz w:val="24"/>
          <w:szCs w:val="24"/>
        </w:rPr>
        <w:t>15</w:t>
      </w:r>
      <w:r>
        <w:rPr>
          <w:rFonts w:hint="eastAsia" w:cs="宋体" w:asciiTheme="minorEastAsia" w:hAnsiTheme="minorEastAsia" w:eastAsiaTheme="minorEastAsia"/>
          <w:b/>
          <w:color w:val="000000" w:themeColor="text1"/>
          <w:kern w:val="0"/>
          <w:sz w:val="24"/>
          <w:szCs w:val="24"/>
        </w:rPr>
        <w:t xml:space="preserve"> </w:t>
      </w:r>
      <w:r>
        <w:rPr>
          <w:rFonts w:cs="宋体" w:asciiTheme="minorEastAsia" w:hAnsiTheme="minorEastAsia" w:eastAsiaTheme="minorEastAsia"/>
          <w:b/>
          <w:color w:val="000000" w:themeColor="text1"/>
          <w:kern w:val="0"/>
          <w:sz w:val="24"/>
          <w:szCs w:val="24"/>
        </w:rPr>
        <w:t>2011</w:t>
      </w:r>
      <w:r>
        <w:rPr>
          <w:rFonts w:hint="eastAsia" w:cs="宋体" w:asciiTheme="minorEastAsia" w:hAnsiTheme="minorEastAsia" w:eastAsiaTheme="minorEastAsia"/>
          <w:b/>
          <w:color w:val="000000" w:themeColor="text1"/>
          <w:kern w:val="0"/>
          <w:sz w:val="24"/>
          <w:szCs w:val="24"/>
        </w:rPr>
        <w:t>-</w:t>
      </w:r>
      <w:r>
        <w:rPr>
          <w:rFonts w:cs="宋体" w:asciiTheme="minorEastAsia" w:hAnsiTheme="minorEastAsia" w:eastAsiaTheme="minorEastAsia"/>
          <w:b/>
          <w:color w:val="000000" w:themeColor="text1"/>
          <w:kern w:val="0"/>
          <w:sz w:val="24"/>
          <w:szCs w:val="24"/>
        </w:rPr>
        <w:t>2017年各预测方法结果</w:t>
      </w:r>
      <w:r>
        <w:rPr>
          <w:rFonts w:hint="eastAsia" w:cs="宋体" w:asciiTheme="minorEastAsia" w:hAnsiTheme="minorEastAsia" w:eastAsiaTheme="minorEastAsia"/>
          <w:b/>
          <w:color w:val="000000" w:themeColor="text1"/>
          <w:kern w:val="0"/>
          <w:sz w:val="24"/>
          <w:szCs w:val="24"/>
        </w:rPr>
        <w:t>（万件）</w:t>
      </w:r>
    </w:p>
    <w:tbl>
      <w:tblPr>
        <w:tblStyle w:val="19"/>
        <w:tblW w:w="8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725"/>
        <w:gridCol w:w="1725"/>
        <w:gridCol w:w="1725"/>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724" w:type="dxa"/>
            <w:vAlign w:val="center"/>
          </w:tcPr>
          <w:p>
            <w:pPr>
              <w:spacing w:before="0" w:after="0" w:line="300"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年份</w:t>
            </w:r>
          </w:p>
        </w:tc>
        <w:tc>
          <w:tcPr>
            <w:tcW w:w="1725" w:type="dxa"/>
            <w:vAlign w:val="center"/>
          </w:tcPr>
          <w:p>
            <w:pPr>
              <w:spacing w:before="0" w:after="0" w:line="300"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实际值</w:t>
            </w:r>
          </w:p>
        </w:tc>
        <w:tc>
          <w:tcPr>
            <w:tcW w:w="1725" w:type="dxa"/>
            <w:vAlign w:val="center"/>
          </w:tcPr>
          <w:p>
            <w:pPr>
              <w:spacing w:before="0" w:after="0" w:line="300"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灰色模型预测值</w:t>
            </w:r>
          </w:p>
        </w:tc>
        <w:tc>
          <w:tcPr>
            <w:tcW w:w="1725" w:type="dxa"/>
            <w:vAlign w:val="center"/>
          </w:tcPr>
          <w:p>
            <w:pPr>
              <w:spacing w:before="0" w:after="0" w:line="300"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趋势外推模型预测值</w:t>
            </w:r>
          </w:p>
        </w:tc>
        <w:tc>
          <w:tcPr>
            <w:tcW w:w="1725" w:type="dxa"/>
            <w:vAlign w:val="center"/>
          </w:tcPr>
          <w:p>
            <w:pPr>
              <w:spacing w:before="0" w:after="0" w:line="300"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多元线性回归预测值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724" w:type="dxa"/>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2011</w:t>
            </w:r>
          </w:p>
        </w:tc>
        <w:tc>
          <w:tcPr>
            <w:tcW w:w="172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199.71</w:t>
            </w:r>
          </w:p>
        </w:tc>
        <w:tc>
          <w:tcPr>
            <w:tcW w:w="1725"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199.71</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206.9633</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192.3166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724" w:type="dxa"/>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2012</w:t>
            </w:r>
          </w:p>
        </w:tc>
        <w:tc>
          <w:tcPr>
            <w:tcW w:w="172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295.75</w:t>
            </w:r>
          </w:p>
        </w:tc>
        <w:tc>
          <w:tcPr>
            <w:tcW w:w="1725"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353.80</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278.025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333.0877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724" w:type="dxa"/>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2013</w:t>
            </w:r>
          </w:p>
        </w:tc>
        <w:tc>
          <w:tcPr>
            <w:tcW w:w="172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440.38</w:t>
            </w:r>
          </w:p>
        </w:tc>
        <w:tc>
          <w:tcPr>
            <w:tcW w:w="1725"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513.45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453.935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593.6942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724" w:type="dxa"/>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2014</w:t>
            </w:r>
          </w:p>
        </w:tc>
        <w:tc>
          <w:tcPr>
            <w:tcW w:w="172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745.70</w:t>
            </w:r>
          </w:p>
        </w:tc>
        <w:tc>
          <w:tcPr>
            <w:tcW w:w="1725"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745.14</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734.6933</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751.8021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724" w:type="dxa"/>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2015</w:t>
            </w:r>
          </w:p>
        </w:tc>
        <w:tc>
          <w:tcPr>
            <w:tcW w:w="172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1100.16</w:t>
            </w:r>
          </w:p>
        </w:tc>
        <w:tc>
          <w:tcPr>
            <w:tcW w:w="1725"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1081.36</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1120.3</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1340.61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724" w:type="dxa"/>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2016</w:t>
            </w:r>
          </w:p>
        </w:tc>
        <w:tc>
          <w:tcPr>
            <w:tcW w:w="172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1627.13</w:t>
            </w:r>
          </w:p>
        </w:tc>
        <w:tc>
          <w:tcPr>
            <w:tcW w:w="1725"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1569.31</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1610.755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1637.71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724" w:type="dxa"/>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2017</w:t>
            </w:r>
          </w:p>
        </w:tc>
        <w:tc>
          <w:tcPr>
            <w:tcW w:w="172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2201.90</w:t>
            </w:r>
          </w:p>
        </w:tc>
        <w:tc>
          <w:tcPr>
            <w:tcW w:w="1725" w:type="dxa"/>
            <w:shd w:val="clear" w:color="auto" w:fill="auto"/>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2277.43</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2206.058</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2298.658</w:t>
            </w:r>
          </w:p>
        </w:tc>
      </w:tr>
    </w:tbl>
    <w:p>
      <w:pPr>
        <w:autoSpaceDE w:val="0"/>
        <w:autoSpaceDN w:val="0"/>
        <w:adjustRightIn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color w:val="000000" w:themeColor="text1"/>
          <w:kern w:val="0"/>
          <w:sz w:val="28"/>
        </w:rPr>
        <w:t>由综合预测中各预测</w:t>
      </w:r>
      <w:r>
        <w:rPr>
          <w:rFonts w:hint="eastAsia" w:asciiTheme="minorEastAsia" w:hAnsiTheme="minorEastAsia" w:eastAsiaTheme="minorEastAsia"/>
          <w:color w:val="000000" w:themeColor="text1"/>
          <w:sz w:val="28"/>
          <w:szCs w:val="28"/>
        </w:rPr>
        <w:t>方法权重</w:t>
      </w:r>
      <m:oMath>
        <m:sSub>
          <m:sSubPr>
            <m:ctrlPr>
              <w:rPr>
                <w:rFonts w:ascii="Cambria Math" w:hAnsi="Cambria Math" w:eastAsiaTheme="minorEastAsia"/>
                <w:color w:val="000000" w:themeColor="text1"/>
                <w:sz w:val="28"/>
                <w:szCs w:val="28"/>
              </w:rPr>
            </m:ctrlPr>
          </m:sSubPr>
          <m:e>
            <m:r>
              <m:rPr>
                <m:sty m:val="bi"/>
              </m:rPr>
              <w:rPr>
                <w:rFonts w:ascii="Cambria Math" w:hAnsi="Cambria Math" w:eastAsiaTheme="minorEastAsia"/>
                <w:color w:val="000000" w:themeColor="text1"/>
                <w:sz w:val="28"/>
                <w:szCs w:val="28"/>
              </w:rPr>
              <m:t>ω</m:t>
            </m:r>
            <m:ctrlPr>
              <w:rPr>
                <w:rFonts w:ascii="Cambria Math" w:hAnsi="Cambria Math" w:eastAsiaTheme="minorEastAsia"/>
                <w:color w:val="000000" w:themeColor="text1"/>
                <w:sz w:val="28"/>
                <w:szCs w:val="28"/>
              </w:rPr>
            </m:ctrlPr>
          </m:e>
          <m:sub>
            <m:r>
              <m:rPr>
                <m:sty m:val="bi"/>
              </m:rPr>
              <w:rPr>
                <w:rFonts w:ascii="Cambria Math" w:hAnsi="Cambria Math" w:eastAsiaTheme="minorEastAsia"/>
                <w:color w:val="000000" w:themeColor="text1"/>
                <w:sz w:val="28"/>
                <w:szCs w:val="28"/>
              </w:rPr>
              <m:t>i</m:t>
            </m:r>
            <m:ctrlPr>
              <w:rPr>
                <w:rFonts w:ascii="Cambria Math" w:hAnsi="Cambria Math" w:eastAsiaTheme="minorEastAsia"/>
                <w:color w:val="000000" w:themeColor="text1"/>
                <w:sz w:val="28"/>
                <w:szCs w:val="28"/>
              </w:rPr>
            </m:ctrlPr>
          </m:sub>
        </m:sSub>
      </m:oMath>
      <w:r>
        <w:rPr>
          <w:rFonts w:hint="eastAsia" w:asciiTheme="minorEastAsia" w:hAnsiTheme="minorEastAsia" w:eastAsiaTheme="minorEastAsia"/>
          <w:color w:val="000000" w:themeColor="text1"/>
          <w:sz w:val="28"/>
          <w:szCs w:val="28"/>
        </w:rPr>
        <w:t>的公式可以得到</w:t>
      </w:r>
      <m:oMath>
        <m:sSub>
          <m:sSubPr>
            <m:ctrlPr>
              <w:rPr>
                <w:rFonts w:ascii="Cambria Math" w:hAnsi="Cambria Math" w:eastAsiaTheme="minorEastAsia"/>
                <w:color w:val="000000" w:themeColor="text1"/>
                <w:sz w:val="28"/>
                <w:szCs w:val="28"/>
              </w:rPr>
            </m:ctrlPr>
          </m:sSubPr>
          <m:e>
            <m:r>
              <m:rPr>
                <m:sty m:val="bi"/>
              </m:rPr>
              <w:rPr>
                <w:rFonts w:ascii="Cambria Math" w:hAnsi="Cambria Math" w:eastAsiaTheme="minorEastAsia"/>
                <w:color w:val="000000" w:themeColor="text1"/>
                <w:sz w:val="28"/>
                <w:szCs w:val="28"/>
              </w:rPr>
              <m:t>ω</m:t>
            </m:r>
            <m:ctrlPr>
              <w:rPr>
                <w:rFonts w:ascii="Cambria Math" w:hAnsi="Cambria Math" w:eastAsiaTheme="minorEastAsia"/>
                <w:color w:val="000000" w:themeColor="text1"/>
                <w:sz w:val="28"/>
                <w:szCs w:val="28"/>
              </w:rPr>
            </m:ctrlPr>
          </m:e>
          <m:sub>
            <m:r>
              <m:rPr>
                <m:sty m:val="b"/>
              </m:rPr>
              <w:rPr>
                <w:rFonts w:ascii="Cambria Math" w:hAnsi="Cambria Math" w:eastAsiaTheme="minorEastAsia"/>
                <w:color w:val="000000" w:themeColor="text1"/>
                <w:sz w:val="28"/>
                <w:szCs w:val="28"/>
              </w:rPr>
              <m:t>1</m:t>
            </m:r>
            <m:ctrlPr>
              <w:rPr>
                <w:rFonts w:ascii="Cambria Math" w:hAnsi="Cambria Math" w:eastAsiaTheme="minorEastAsia"/>
                <w:color w:val="000000" w:themeColor="text1"/>
                <w:sz w:val="28"/>
                <w:szCs w:val="28"/>
              </w:rPr>
            </m:ctrlPr>
          </m:sub>
        </m:sSub>
      </m:oMath>
      <w:r>
        <w:rPr>
          <w:rFonts w:hint="eastAsia" w:asciiTheme="minorEastAsia" w:hAnsiTheme="minorEastAsia" w:eastAsiaTheme="minorEastAsia"/>
          <w:color w:val="000000" w:themeColor="text1"/>
          <w:sz w:val="28"/>
          <w:szCs w:val="28"/>
        </w:rPr>
        <w:t>=0.36，</w:t>
      </w:r>
      <m:oMath>
        <m:sSub>
          <m:sSubPr>
            <m:ctrlPr>
              <w:rPr>
                <w:rFonts w:ascii="Cambria Math" w:hAnsi="Cambria Math" w:eastAsiaTheme="minorEastAsia"/>
                <w:color w:val="000000" w:themeColor="text1"/>
                <w:sz w:val="28"/>
                <w:szCs w:val="28"/>
              </w:rPr>
            </m:ctrlPr>
          </m:sSubPr>
          <m:e>
            <m:r>
              <m:rPr>
                <m:sty m:val="bi"/>
              </m:rPr>
              <w:rPr>
                <w:rFonts w:ascii="Cambria Math" w:hAnsi="Cambria Math" w:eastAsiaTheme="minorEastAsia"/>
                <w:color w:val="000000" w:themeColor="text1"/>
                <w:sz w:val="28"/>
                <w:szCs w:val="28"/>
              </w:rPr>
              <m:t>ω</m:t>
            </m:r>
            <m:ctrlPr>
              <w:rPr>
                <w:rFonts w:ascii="Cambria Math" w:hAnsi="Cambria Math" w:eastAsiaTheme="minorEastAsia"/>
                <w:color w:val="000000" w:themeColor="text1"/>
                <w:sz w:val="28"/>
                <w:szCs w:val="28"/>
              </w:rPr>
            </m:ctrlPr>
          </m:e>
          <m:sub>
            <m:r>
              <m:rPr>
                <m:sty m:val="b"/>
              </m:rPr>
              <w:rPr>
                <w:rFonts w:ascii="Cambria Math" w:hAnsi="Cambria Math" w:eastAsiaTheme="minorEastAsia"/>
                <w:color w:val="000000" w:themeColor="text1"/>
                <w:sz w:val="28"/>
                <w:szCs w:val="28"/>
              </w:rPr>
              <m:t>2</m:t>
            </m:r>
            <m:ctrlPr>
              <w:rPr>
                <w:rFonts w:ascii="Cambria Math" w:hAnsi="Cambria Math" w:eastAsiaTheme="minorEastAsia"/>
                <w:color w:val="000000" w:themeColor="text1"/>
                <w:sz w:val="28"/>
                <w:szCs w:val="28"/>
              </w:rPr>
            </m:ctrlPr>
          </m:sub>
        </m:sSub>
      </m:oMath>
      <w:r>
        <w:rPr>
          <w:rFonts w:hint="eastAsia" w:asciiTheme="minorEastAsia" w:hAnsiTheme="minorEastAsia" w:eastAsiaTheme="minorEastAsia"/>
          <w:color w:val="000000" w:themeColor="text1"/>
          <w:sz w:val="28"/>
          <w:szCs w:val="28"/>
        </w:rPr>
        <w:t>=0.44，</w:t>
      </w:r>
      <m:oMath>
        <m:sSub>
          <m:sSubPr>
            <m:ctrlPr>
              <w:rPr>
                <w:rFonts w:ascii="Cambria Math" w:hAnsi="Cambria Math" w:eastAsiaTheme="minorEastAsia"/>
                <w:color w:val="000000" w:themeColor="text1"/>
                <w:sz w:val="28"/>
                <w:szCs w:val="28"/>
              </w:rPr>
            </m:ctrlPr>
          </m:sSubPr>
          <m:e>
            <m:r>
              <m:rPr>
                <m:sty m:val="bi"/>
              </m:rPr>
              <w:rPr>
                <w:rFonts w:ascii="Cambria Math" w:hAnsi="Cambria Math" w:eastAsiaTheme="minorEastAsia"/>
                <w:color w:val="000000" w:themeColor="text1"/>
                <w:sz w:val="28"/>
                <w:szCs w:val="28"/>
              </w:rPr>
              <m:t>ω</m:t>
            </m:r>
            <m:ctrlPr>
              <w:rPr>
                <w:rFonts w:ascii="Cambria Math" w:hAnsi="Cambria Math" w:eastAsiaTheme="minorEastAsia"/>
                <w:color w:val="000000" w:themeColor="text1"/>
                <w:sz w:val="28"/>
                <w:szCs w:val="28"/>
              </w:rPr>
            </m:ctrlPr>
          </m:e>
          <m:sub>
            <m:r>
              <m:rPr>
                <m:sty m:val="b"/>
              </m:rPr>
              <w:rPr>
                <w:rFonts w:ascii="Cambria Math" w:hAnsi="Cambria Math" w:eastAsiaTheme="minorEastAsia"/>
                <w:color w:val="000000" w:themeColor="text1"/>
                <w:sz w:val="28"/>
                <w:szCs w:val="28"/>
              </w:rPr>
              <m:t>3</m:t>
            </m:r>
            <m:ctrlPr>
              <w:rPr>
                <w:rFonts w:ascii="Cambria Math" w:hAnsi="Cambria Math" w:eastAsiaTheme="minorEastAsia"/>
                <w:color w:val="000000" w:themeColor="text1"/>
                <w:sz w:val="28"/>
                <w:szCs w:val="28"/>
              </w:rPr>
            </m:ctrlPr>
          </m:sub>
        </m:sSub>
      </m:oMath>
      <w:r>
        <w:rPr>
          <w:rFonts w:hint="eastAsia" w:asciiTheme="minorEastAsia" w:hAnsiTheme="minorEastAsia" w:eastAsiaTheme="minorEastAsia"/>
          <w:color w:val="000000" w:themeColor="text1"/>
          <w:sz w:val="28"/>
          <w:szCs w:val="28"/>
        </w:rPr>
        <w:t>=0.20。说明趋势外推法在组合模型中权重最大，多元线性回归模型最小，</w:t>
      </w:r>
      <w:r>
        <w:rPr>
          <w:rFonts w:asciiTheme="minorEastAsia" w:hAnsiTheme="minorEastAsia" w:eastAsiaTheme="minorEastAsia"/>
          <w:color w:val="000000" w:themeColor="text1"/>
          <w:sz w:val="28"/>
          <w:szCs w:val="28"/>
        </w:rPr>
        <w:t xml:space="preserve"> </w:t>
      </w:r>
    </w:p>
    <w:p>
      <w:pPr>
        <w:autoSpaceDE w:val="0"/>
        <w:autoSpaceDN w:val="0"/>
        <w:adjustRightInd w:val="0"/>
        <w:spacing w:before="0" w:after="0" w:line="360" w:lineRule="auto"/>
        <w:ind w:left="0" w:firstLine="1400" w:firstLineChars="5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position w:val="-10"/>
          <w:sz w:val="28"/>
          <w:szCs w:val="28"/>
        </w:rPr>
        <w:object>
          <v:shape id="_x0000_i1142" o:spt="75" type="#_x0000_t75" style="height:15.9pt;width:147.75pt;" o:ole="t" filled="f" o:preferrelative="t" stroked="f" coordsize="21600,21600">
            <v:path/>
            <v:fill on="f" focussize="0,0"/>
            <v:stroke on="f" joinstyle="miter"/>
            <v:imagedata r:id="rId262" o:title=""/>
            <o:lock v:ext="edit" aspectratio="t"/>
            <w10:wrap type="none"/>
            <w10:anchorlock/>
          </v:shape>
          <o:OLEObject Type="Embed" ProgID="Equation.3" ShapeID="_x0000_i1142" DrawAspect="Content" ObjectID="_1468075842" r:id="rId261">
            <o:LockedField>false</o:LockedField>
          </o:OLEObject>
        </w:objec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w:r>
        <w:rPr>
          <w:rFonts w:asciiTheme="minorEastAsia" w:hAnsiTheme="minorEastAsia" w:eastAsiaTheme="minorEastAsia"/>
          <w:color w:val="000000" w:themeColor="text1"/>
          <w:sz w:val="28"/>
          <w:szCs w:val="28"/>
        </w:rPr>
        <w:t xml:space="preserve">      </w:t>
      </w:r>
      <w:r>
        <w:rPr>
          <w:rFonts w:hint="eastAsia" w:asciiTheme="minorEastAsia" w:hAnsiTheme="minorEastAsia" w:eastAsiaTheme="minorEastAsia"/>
          <w:color w:val="000000" w:themeColor="text1"/>
          <w:sz w:val="28"/>
          <w:szCs w:val="28"/>
        </w:rPr>
        <w:t xml:space="preserve"> </w:t>
      </w:r>
      <w:r>
        <w:rPr>
          <w:rFonts w:ascii="Times New Roman" w:hAnsi="Times New Roman" w:eastAsiaTheme="minorEastAsia"/>
          <w:color w:val="000000" w:themeColor="text1"/>
          <w:sz w:val="28"/>
          <w:szCs w:val="28"/>
        </w:rPr>
        <w:t>（1-25）</w:t>
      </w:r>
    </w:p>
    <w:p>
      <w:pPr>
        <w:autoSpaceDE w:val="0"/>
        <w:autoSpaceDN w:val="0"/>
        <w:adjustRightIn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可以得到泉州台商投资区快递需求量组合预测结果。</w:t>
      </w:r>
    </w:p>
    <w:p>
      <w:pPr>
        <w:widowControl/>
        <w:spacing w:before="0" w:after="0" w:line="240" w:lineRule="auto"/>
        <w:ind w:left="0" w:firstLine="0"/>
        <w:jc w:val="left"/>
        <w:rPr>
          <w:rFonts w:cs="宋体" w:asciiTheme="minorEastAsia" w:hAnsiTheme="minorEastAsia" w:eastAsiaTheme="minorEastAsia"/>
          <w:b/>
          <w:color w:val="000000" w:themeColor="text1"/>
          <w:kern w:val="0"/>
          <w:sz w:val="24"/>
          <w:szCs w:val="24"/>
        </w:rPr>
      </w:pPr>
      <w:r>
        <w:rPr>
          <w:rFonts w:cs="宋体" w:asciiTheme="minorEastAsia" w:hAnsiTheme="minorEastAsia" w:eastAsiaTheme="minorEastAsia"/>
          <w:b/>
          <w:color w:val="000000" w:themeColor="text1"/>
          <w:kern w:val="0"/>
          <w:sz w:val="24"/>
          <w:szCs w:val="24"/>
        </w:rPr>
        <w:br w:type="page"/>
      </w:r>
    </w:p>
    <w:p>
      <w:pPr>
        <w:widowControl/>
        <w:spacing w:before="0" w:after="0" w:line="360" w:lineRule="auto"/>
        <w:ind w:left="0" w:firstLine="482" w:firstLineChars="200"/>
        <w:jc w:val="center"/>
        <w:rPr>
          <w:rFonts w:cs="宋体" w:asciiTheme="minorEastAsia" w:hAnsiTheme="minorEastAsia" w:eastAsiaTheme="minorEastAsia"/>
          <w:b/>
          <w:color w:val="000000" w:themeColor="text1"/>
          <w:kern w:val="0"/>
          <w:sz w:val="24"/>
          <w:szCs w:val="24"/>
        </w:rPr>
      </w:pPr>
      <w:r>
        <w:rPr>
          <w:rFonts w:hint="eastAsia" w:cs="宋体" w:asciiTheme="minorEastAsia" w:hAnsiTheme="minorEastAsia" w:eastAsiaTheme="minorEastAsia"/>
          <w:b/>
          <w:color w:val="000000" w:themeColor="text1"/>
          <w:kern w:val="0"/>
          <w:sz w:val="24"/>
          <w:szCs w:val="24"/>
        </w:rPr>
        <w:t>表1-</w:t>
      </w:r>
      <w:r>
        <w:rPr>
          <w:rFonts w:cs="宋体" w:asciiTheme="minorEastAsia" w:hAnsiTheme="minorEastAsia" w:eastAsiaTheme="minorEastAsia"/>
          <w:b/>
          <w:color w:val="000000" w:themeColor="text1"/>
          <w:kern w:val="0"/>
          <w:sz w:val="24"/>
          <w:szCs w:val="24"/>
        </w:rPr>
        <w:t>15</w:t>
      </w:r>
      <w:r>
        <w:rPr>
          <w:rFonts w:hint="eastAsia" w:cs="宋体" w:asciiTheme="minorEastAsia" w:hAnsiTheme="minorEastAsia" w:eastAsiaTheme="minorEastAsia"/>
          <w:b/>
          <w:color w:val="000000" w:themeColor="text1"/>
          <w:kern w:val="0"/>
          <w:sz w:val="24"/>
          <w:szCs w:val="24"/>
        </w:rPr>
        <w:t xml:space="preserve"> </w:t>
      </w:r>
      <w:r>
        <w:rPr>
          <w:rFonts w:cs="宋体" w:asciiTheme="minorEastAsia" w:hAnsiTheme="minorEastAsia" w:eastAsiaTheme="minorEastAsia"/>
          <w:b/>
          <w:color w:val="000000" w:themeColor="text1"/>
          <w:kern w:val="0"/>
          <w:sz w:val="24"/>
          <w:szCs w:val="24"/>
        </w:rPr>
        <w:t>2011</w:t>
      </w:r>
      <w:r>
        <w:rPr>
          <w:rFonts w:hint="eastAsia" w:cs="宋体" w:asciiTheme="minorEastAsia" w:hAnsiTheme="minorEastAsia" w:eastAsiaTheme="minorEastAsia"/>
          <w:b/>
          <w:color w:val="000000" w:themeColor="text1"/>
          <w:kern w:val="0"/>
          <w:sz w:val="24"/>
          <w:szCs w:val="24"/>
        </w:rPr>
        <w:t>-</w:t>
      </w:r>
      <w:r>
        <w:rPr>
          <w:rFonts w:cs="宋体" w:asciiTheme="minorEastAsia" w:hAnsiTheme="minorEastAsia" w:eastAsiaTheme="minorEastAsia"/>
          <w:b/>
          <w:color w:val="000000" w:themeColor="text1"/>
          <w:kern w:val="0"/>
          <w:sz w:val="24"/>
          <w:szCs w:val="24"/>
        </w:rPr>
        <w:t>2017年</w:t>
      </w:r>
      <w:r>
        <w:rPr>
          <w:rFonts w:hint="eastAsia" w:cs="宋体" w:asciiTheme="minorEastAsia" w:hAnsiTheme="minorEastAsia" w:eastAsiaTheme="minorEastAsia"/>
          <w:b/>
          <w:color w:val="000000" w:themeColor="text1"/>
          <w:kern w:val="0"/>
          <w:sz w:val="24"/>
          <w:szCs w:val="24"/>
        </w:rPr>
        <w:t>组合</w:t>
      </w:r>
      <w:r>
        <w:rPr>
          <w:rFonts w:cs="宋体" w:asciiTheme="minorEastAsia" w:hAnsiTheme="minorEastAsia" w:eastAsiaTheme="minorEastAsia"/>
          <w:b/>
          <w:color w:val="000000" w:themeColor="text1"/>
          <w:kern w:val="0"/>
          <w:sz w:val="24"/>
          <w:szCs w:val="24"/>
        </w:rPr>
        <w:t>预测结果</w:t>
      </w:r>
      <w:r>
        <w:rPr>
          <w:rFonts w:hint="eastAsia" w:cs="宋体" w:asciiTheme="minorEastAsia" w:hAnsiTheme="minorEastAsia" w:eastAsiaTheme="minorEastAsia"/>
          <w:b/>
          <w:color w:val="000000" w:themeColor="text1"/>
          <w:kern w:val="0"/>
          <w:sz w:val="24"/>
          <w:szCs w:val="24"/>
        </w:rPr>
        <w:t>（万件）</w:t>
      </w:r>
    </w:p>
    <w:tbl>
      <w:tblPr>
        <w:tblStyle w:val="19"/>
        <w:tblW w:w="8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725"/>
        <w:gridCol w:w="1725"/>
        <w:gridCol w:w="1725"/>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724" w:type="dxa"/>
          </w:tcPr>
          <w:p>
            <w:pPr>
              <w:spacing w:before="0" w:after="0" w:line="276"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年份</w:t>
            </w:r>
          </w:p>
        </w:tc>
        <w:tc>
          <w:tcPr>
            <w:tcW w:w="1725" w:type="dxa"/>
          </w:tcPr>
          <w:p>
            <w:pPr>
              <w:spacing w:before="0" w:after="0" w:line="276"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实际值</w:t>
            </w:r>
          </w:p>
        </w:tc>
        <w:tc>
          <w:tcPr>
            <w:tcW w:w="1725" w:type="dxa"/>
          </w:tcPr>
          <w:p>
            <w:pPr>
              <w:spacing w:before="0" w:after="0" w:line="276"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组合</w:t>
            </w:r>
            <w:r>
              <w:rPr>
                <w:rFonts w:ascii="Times New Roman" w:hAnsi="Times New Roman"/>
                <w:b/>
                <w:bCs/>
                <w:color w:val="000000" w:themeColor="text1"/>
                <w:kern w:val="0"/>
              </w:rPr>
              <w:t>预测值</w:t>
            </w:r>
          </w:p>
        </w:tc>
        <w:tc>
          <w:tcPr>
            <w:tcW w:w="1725" w:type="dxa"/>
          </w:tcPr>
          <w:p>
            <w:pPr>
              <w:spacing w:before="0" w:after="0" w:line="276"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误差</w:t>
            </w:r>
          </w:p>
        </w:tc>
        <w:tc>
          <w:tcPr>
            <w:tcW w:w="1725" w:type="dxa"/>
          </w:tcPr>
          <w:p>
            <w:pPr>
              <w:spacing w:before="0" w:after="0" w:line="276"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误差比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724" w:type="dxa"/>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2011</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199.71</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205.2691</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5.56</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724" w:type="dxa"/>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2012</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295.75</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322.9783</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27.23</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724" w:type="dxa"/>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2013</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440.38</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470</w:t>
            </w:r>
            <w:r>
              <w:rPr>
                <w:rFonts w:hint="eastAsia" w:ascii="Times New Roman" w:hAnsi="Times New Roman"/>
                <w:color w:val="000000" w:themeColor="text1"/>
                <w:sz w:val="24"/>
                <w:szCs w:val="24"/>
              </w:rPr>
              <w:t>.1861</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29.80</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6.77</w:t>
            </w:r>
            <w:r>
              <w:rPr>
                <w:rFonts w:hint="eastAsia" w:ascii="Times New Roman" w:hAnsi="Times New Roman"/>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724" w:type="dxa"/>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2014</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745.70</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756.9119</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11.21</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724" w:type="dxa"/>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2015</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1100.16</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1177.156</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77.00</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724" w:type="dxa"/>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2016</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1627.13</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1633.98</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6.85</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1724" w:type="dxa"/>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2017</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2201.90</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2296.245</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94.35</w:t>
            </w:r>
          </w:p>
        </w:tc>
        <w:tc>
          <w:tcPr>
            <w:tcW w:w="1725"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4.28%</w:t>
            </w:r>
          </w:p>
        </w:tc>
      </w:tr>
    </w:tbl>
    <w:p>
      <w:pPr>
        <w:autoSpaceDE w:val="0"/>
        <w:autoSpaceDN w:val="0"/>
        <w:adjustRightInd w:val="0"/>
        <w:spacing w:before="0" w:after="0" w:line="360" w:lineRule="auto"/>
        <w:ind w:left="0" w:firstLine="560" w:firstLineChars="200"/>
        <w:jc w:val="left"/>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由此可得</w:t>
      </w:r>
      <w:r>
        <w:rPr>
          <w:rFonts w:hint="eastAsia" w:asciiTheme="minorEastAsia" w:hAnsiTheme="minorEastAsia" w:eastAsiaTheme="minorEastAsia"/>
          <w:color w:val="000000" w:themeColor="text1"/>
          <w:sz w:val="28"/>
          <w:szCs w:val="28"/>
        </w:rPr>
        <w:t>2019-</w:t>
      </w:r>
      <w:r>
        <w:rPr>
          <w:rFonts w:asciiTheme="minorEastAsia" w:hAnsiTheme="minorEastAsia" w:eastAsiaTheme="minorEastAsia"/>
          <w:color w:val="000000" w:themeColor="text1"/>
          <w:sz w:val="28"/>
          <w:szCs w:val="28"/>
        </w:rPr>
        <w:t>2025年组合预测值</w:t>
      </w:r>
      <w:r>
        <w:rPr>
          <w:rFonts w:hint="eastAsia" w:asciiTheme="minorEastAsia" w:hAnsiTheme="minorEastAsia" w:eastAsiaTheme="minorEastAsia"/>
          <w:color w:val="000000" w:themeColor="text1"/>
          <w:sz w:val="28"/>
          <w:szCs w:val="28"/>
        </w:rPr>
        <w:t>。</w:t>
      </w:r>
    </w:p>
    <w:p>
      <w:pPr>
        <w:widowControl/>
        <w:spacing w:before="0" w:after="0" w:line="360" w:lineRule="auto"/>
        <w:ind w:left="0" w:firstLine="482" w:firstLineChars="200"/>
        <w:jc w:val="center"/>
        <w:rPr>
          <w:rFonts w:cs="宋体" w:asciiTheme="minorEastAsia" w:hAnsiTheme="minorEastAsia" w:eastAsiaTheme="minorEastAsia"/>
          <w:b/>
          <w:color w:val="000000" w:themeColor="text1"/>
          <w:kern w:val="0"/>
          <w:sz w:val="24"/>
          <w:szCs w:val="24"/>
        </w:rPr>
      </w:pPr>
      <w:r>
        <w:rPr>
          <w:rFonts w:hint="eastAsia" w:cs="宋体" w:asciiTheme="minorEastAsia" w:hAnsiTheme="minorEastAsia" w:eastAsiaTheme="minorEastAsia"/>
          <w:b/>
          <w:color w:val="000000" w:themeColor="text1"/>
          <w:kern w:val="0"/>
          <w:sz w:val="24"/>
          <w:szCs w:val="24"/>
        </w:rPr>
        <w:t>表1-</w:t>
      </w:r>
      <w:r>
        <w:rPr>
          <w:rFonts w:cs="宋体" w:asciiTheme="minorEastAsia" w:hAnsiTheme="minorEastAsia" w:eastAsiaTheme="minorEastAsia"/>
          <w:b/>
          <w:color w:val="000000" w:themeColor="text1"/>
          <w:kern w:val="0"/>
          <w:sz w:val="24"/>
          <w:szCs w:val="24"/>
        </w:rPr>
        <w:t>16</w:t>
      </w:r>
      <w:r>
        <w:rPr>
          <w:rFonts w:hint="eastAsia" w:cs="宋体" w:asciiTheme="minorEastAsia" w:hAnsiTheme="minorEastAsia" w:eastAsiaTheme="minorEastAsia"/>
          <w:b/>
          <w:color w:val="000000" w:themeColor="text1"/>
          <w:kern w:val="0"/>
          <w:sz w:val="24"/>
          <w:szCs w:val="24"/>
        </w:rPr>
        <w:t xml:space="preserve"> </w:t>
      </w:r>
      <w:r>
        <w:rPr>
          <w:rFonts w:cs="宋体" w:asciiTheme="minorEastAsia" w:hAnsiTheme="minorEastAsia" w:eastAsiaTheme="minorEastAsia"/>
          <w:b/>
          <w:color w:val="000000" w:themeColor="text1"/>
          <w:kern w:val="0"/>
          <w:sz w:val="24"/>
          <w:szCs w:val="24"/>
        </w:rPr>
        <w:t>2019</w:t>
      </w:r>
      <w:r>
        <w:rPr>
          <w:rFonts w:hint="eastAsia" w:cs="宋体" w:asciiTheme="minorEastAsia" w:hAnsiTheme="minorEastAsia" w:eastAsiaTheme="minorEastAsia"/>
          <w:b/>
          <w:color w:val="000000" w:themeColor="text1"/>
          <w:kern w:val="0"/>
          <w:sz w:val="24"/>
          <w:szCs w:val="24"/>
        </w:rPr>
        <w:t>-</w:t>
      </w:r>
      <w:r>
        <w:rPr>
          <w:rFonts w:cs="宋体" w:asciiTheme="minorEastAsia" w:hAnsiTheme="minorEastAsia" w:eastAsiaTheme="minorEastAsia"/>
          <w:b/>
          <w:color w:val="000000" w:themeColor="text1"/>
          <w:kern w:val="0"/>
          <w:sz w:val="24"/>
          <w:szCs w:val="24"/>
        </w:rPr>
        <w:t>2025年</w:t>
      </w:r>
      <w:r>
        <w:rPr>
          <w:rFonts w:hint="eastAsia" w:cs="宋体" w:asciiTheme="minorEastAsia" w:hAnsiTheme="minorEastAsia" w:eastAsiaTheme="minorEastAsia"/>
          <w:b/>
          <w:color w:val="000000" w:themeColor="text1"/>
          <w:kern w:val="0"/>
          <w:sz w:val="24"/>
          <w:szCs w:val="24"/>
        </w:rPr>
        <w:t>组合</w:t>
      </w:r>
      <w:r>
        <w:rPr>
          <w:rFonts w:cs="宋体" w:asciiTheme="minorEastAsia" w:hAnsiTheme="minorEastAsia" w:eastAsiaTheme="minorEastAsia"/>
          <w:b/>
          <w:color w:val="000000" w:themeColor="text1"/>
          <w:kern w:val="0"/>
          <w:sz w:val="24"/>
          <w:szCs w:val="24"/>
        </w:rPr>
        <w:t>预测结果</w:t>
      </w:r>
      <w:r>
        <w:rPr>
          <w:rFonts w:hint="eastAsia" w:cs="宋体" w:asciiTheme="minorEastAsia" w:hAnsiTheme="minorEastAsia" w:eastAsiaTheme="minorEastAsia"/>
          <w:b/>
          <w:color w:val="000000" w:themeColor="text1"/>
          <w:kern w:val="0"/>
          <w:sz w:val="24"/>
          <w:szCs w:val="24"/>
        </w:rPr>
        <w:t>（万件）</w:t>
      </w:r>
    </w:p>
    <w:tbl>
      <w:tblPr>
        <w:tblStyle w:val="19"/>
        <w:tblW w:w="8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728"/>
        <w:gridCol w:w="1728"/>
        <w:gridCol w:w="1728"/>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1727" w:type="dxa"/>
            <w:shd w:val="clear" w:color="auto" w:fill="auto"/>
          </w:tcPr>
          <w:p>
            <w:pPr>
              <w:spacing w:before="0" w:after="0" w:line="276"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年份</w:t>
            </w:r>
          </w:p>
        </w:tc>
        <w:tc>
          <w:tcPr>
            <w:tcW w:w="1728" w:type="dxa"/>
            <w:shd w:val="clear" w:color="auto" w:fill="auto"/>
          </w:tcPr>
          <w:p>
            <w:pPr>
              <w:spacing w:before="0" w:after="0" w:line="276"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灰色预测值</w:t>
            </w:r>
          </w:p>
        </w:tc>
        <w:tc>
          <w:tcPr>
            <w:tcW w:w="1728" w:type="dxa"/>
            <w:shd w:val="clear" w:color="auto" w:fill="auto"/>
          </w:tcPr>
          <w:p>
            <w:pPr>
              <w:spacing w:before="0" w:after="0" w:line="276"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二项式</w:t>
            </w:r>
            <w:r>
              <w:rPr>
                <w:rFonts w:ascii="Times New Roman" w:hAnsi="Times New Roman"/>
                <w:b/>
                <w:bCs/>
                <w:color w:val="000000" w:themeColor="text1"/>
                <w:kern w:val="0"/>
              </w:rPr>
              <w:t>曲线回归预测值</w:t>
            </w:r>
          </w:p>
        </w:tc>
        <w:tc>
          <w:tcPr>
            <w:tcW w:w="1728" w:type="dxa"/>
            <w:shd w:val="clear" w:color="auto" w:fill="auto"/>
          </w:tcPr>
          <w:p>
            <w:pPr>
              <w:spacing w:before="0" w:after="0" w:line="276"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多元线性回归值</w:t>
            </w:r>
          </w:p>
        </w:tc>
        <w:tc>
          <w:tcPr>
            <w:tcW w:w="1728" w:type="dxa"/>
            <w:shd w:val="clear" w:color="auto" w:fill="auto"/>
          </w:tcPr>
          <w:p>
            <w:pPr>
              <w:spacing w:before="0" w:after="0" w:line="276"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组合预测值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727"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w:t>
            </w:r>
            <w:r>
              <w:rPr>
                <w:rFonts w:ascii="Times New Roman" w:hAnsi="Times New Roman"/>
                <w:color w:val="000000" w:themeColor="text1"/>
                <w:sz w:val="24"/>
                <w:szCs w:val="24"/>
              </w:rPr>
              <w:t>9</w:t>
            </w:r>
          </w:p>
        </w:tc>
        <w:tc>
          <w:tcPr>
            <w:tcW w:w="1728" w:type="dxa"/>
            <w:shd w:val="clear" w:color="auto" w:fill="auto"/>
            <w:vAlign w:val="center"/>
          </w:tcPr>
          <w:p>
            <w:pPr>
              <w:widowControl/>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2877.8580</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2597.8470</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2218.8305</w:t>
            </w:r>
          </w:p>
        </w:tc>
        <w:tc>
          <w:tcPr>
            <w:tcW w:w="1728" w:type="dxa"/>
            <w:shd w:val="clear" w:color="auto" w:fill="auto"/>
            <w:vAlign w:val="center"/>
          </w:tcPr>
          <w:p>
            <w:pPr>
              <w:widowControl/>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2667.22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727"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20</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3480.3650</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3234.7408</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2445.9772</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3214.33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727"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21</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4040.6480</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3663.2408</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2635.6029</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3646.29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727"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22</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4397.9370</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4053.1800</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2772.6409</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3976.64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727"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23</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4680.4428</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4388.8313</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3433.1822</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4371.35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727"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24</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4939.9312</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5306.0930</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3823.7331</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4954.28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727"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2025</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5376.7356</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5371.5125</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4198.7472</w:t>
            </w:r>
          </w:p>
        </w:tc>
        <w:tc>
          <w:tcPr>
            <w:tcW w:w="1728" w:type="dxa"/>
            <w:shd w:val="clear" w:color="auto" w:fill="auto"/>
            <w:vAlign w:val="center"/>
          </w:tcPr>
          <w:p>
            <w:pPr>
              <w:spacing w:before="0" w:after="0" w:line="276"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5222.81</w:t>
            </w:r>
          </w:p>
        </w:tc>
      </w:tr>
    </w:tbl>
    <w:p>
      <w:pPr>
        <w:spacing w:before="156" w:beforeLines="50" w:after="156" w:afterLines="50" w:line="360" w:lineRule="auto"/>
        <w:ind w:left="0" w:firstLine="482" w:firstLineChars="200"/>
        <w:jc w:val="center"/>
        <w:rPr>
          <w:rFonts w:cs="宋体" w:asciiTheme="minorEastAsia" w:hAnsiTheme="minorEastAsia" w:eastAsiaTheme="minorEastAsia"/>
          <w:b/>
          <w:color w:val="000000" w:themeColor="text1"/>
          <w:kern w:val="0"/>
          <w:sz w:val="24"/>
          <w:szCs w:val="24"/>
        </w:rPr>
      </w:pPr>
      <w:r>
        <w:rPr>
          <w:rFonts w:hint="eastAsia" w:cs="宋体" w:asciiTheme="minorEastAsia" w:hAnsiTheme="minorEastAsia" w:eastAsiaTheme="minorEastAsia"/>
          <w:b/>
          <w:color w:val="000000" w:themeColor="text1"/>
          <w:kern w:val="0"/>
          <w:sz w:val="24"/>
          <w:szCs w:val="24"/>
        </w:rPr>
        <w:t>表1-</w:t>
      </w:r>
      <w:r>
        <w:rPr>
          <w:rFonts w:cs="宋体" w:asciiTheme="minorEastAsia" w:hAnsiTheme="minorEastAsia" w:eastAsiaTheme="minorEastAsia"/>
          <w:b/>
          <w:color w:val="000000" w:themeColor="text1"/>
          <w:kern w:val="0"/>
          <w:sz w:val="24"/>
          <w:szCs w:val="24"/>
        </w:rPr>
        <w:t>17</w:t>
      </w:r>
      <w:r>
        <w:rPr>
          <w:rFonts w:hint="eastAsia" w:cs="宋体" w:asciiTheme="minorEastAsia" w:hAnsiTheme="minorEastAsia" w:eastAsiaTheme="minorEastAsia"/>
          <w:b/>
          <w:color w:val="000000" w:themeColor="text1"/>
          <w:kern w:val="0"/>
          <w:sz w:val="24"/>
          <w:szCs w:val="24"/>
        </w:rPr>
        <w:t xml:space="preserve"> </w:t>
      </w:r>
      <w:r>
        <w:rPr>
          <w:rFonts w:cs="宋体" w:asciiTheme="minorEastAsia" w:hAnsiTheme="minorEastAsia" w:eastAsiaTheme="minorEastAsia"/>
          <w:b/>
          <w:color w:val="000000" w:themeColor="text1"/>
          <w:kern w:val="0"/>
          <w:sz w:val="24"/>
          <w:szCs w:val="24"/>
        </w:rPr>
        <w:t>2019</w:t>
      </w:r>
      <w:r>
        <w:rPr>
          <w:rFonts w:hint="eastAsia" w:cs="宋体" w:asciiTheme="minorEastAsia" w:hAnsiTheme="minorEastAsia" w:eastAsiaTheme="minorEastAsia"/>
          <w:b/>
          <w:color w:val="000000" w:themeColor="text1"/>
          <w:kern w:val="0"/>
          <w:sz w:val="24"/>
          <w:szCs w:val="24"/>
        </w:rPr>
        <w:t>-</w:t>
      </w:r>
      <w:r>
        <w:rPr>
          <w:rFonts w:cs="宋体" w:asciiTheme="minorEastAsia" w:hAnsiTheme="minorEastAsia" w:eastAsiaTheme="minorEastAsia"/>
          <w:b/>
          <w:color w:val="000000" w:themeColor="text1"/>
          <w:kern w:val="0"/>
          <w:sz w:val="24"/>
          <w:szCs w:val="24"/>
        </w:rPr>
        <w:t>2025年</w:t>
      </w:r>
      <w:r>
        <w:rPr>
          <w:rFonts w:hint="eastAsia" w:cs="宋体" w:asciiTheme="minorEastAsia" w:hAnsiTheme="minorEastAsia" w:eastAsiaTheme="minorEastAsia"/>
          <w:b/>
          <w:color w:val="000000" w:themeColor="text1"/>
          <w:kern w:val="0"/>
          <w:sz w:val="24"/>
          <w:szCs w:val="24"/>
        </w:rPr>
        <w:t>台商投资区每个镇的快递业务量(万件)</w:t>
      </w:r>
    </w:p>
    <w:tbl>
      <w:tblPr>
        <w:tblStyle w:val="19"/>
        <w:tblW w:w="8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708"/>
        <w:gridCol w:w="1780"/>
        <w:gridCol w:w="1835"/>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1280" w:type="dxa"/>
            <w:shd w:val="clear" w:color="auto" w:fill="auto"/>
          </w:tcPr>
          <w:p>
            <w:pPr>
              <w:spacing w:before="0" w:after="0" w:line="300" w:lineRule="auto"/>
              <w:ind w:left="0" w:firstLine="0"/>
              <w:jc w:val="center"/>
              <w:rPr>
                <w:rFonts w:ascii="Times New Roman" w:hAnsi="Times New Roman"/>
                <w:b/>
                <w:bCs/>
                <w:color w:val="000000" w:themeColor="text1"/>
                <w:kern w:val="0"/>
              </w:rPr>
            </w:pPr>
            <w:r>
              <w:rPr>
                <w:rFonts w:ascii="Times New Roman" w:hAnsi="Times New Roman"/>
                <w:b/>
                <w:bCs/>
                <w:color w:val="000000" w:themeColor="text1"/>
                <w:kern w:val="0"/>
              </w:rPr>
              <w:t>年份</w:t>
            </w:r>
          </w:p>
        </w:tc>
        <w:tc>
          <w:tcPr>
            <w:tcW w:w="1708" w:type="dxa"/>
            <w:shd w:val="clear" w:color="auto" w:fill="auto"/>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百崎回族乡</w:t>
            </w:r>
          </w:p>
        </w:tc>
        <w:tc>
          <w:tcPr>
            <w:tcW w:w="1780"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洛阳镇</w:t>
            </w:r>
          </w:p>
        </w:tc>
        <w:tc>
          <w:tcPr>
            <w:tcW w:w="1835"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东园镇</w:t>
            </w:r>
          </w:p>
        </w:tc>
        <w:tc>
          <w:tcPr>
            <w:tcW w:w="2021" w:type="dxa"/>
            <w:shd w:val="clear" w:color="auto" w:fill="auto"/>
            <w:vAlign w:val="center"/>
          </w:tcPr>
          <w:p>
            <w:pPr>
              <w:spacing w:before="0" w:after="0" w:line="300" w:lineRule="auto"/>
              <w:ind w:left="0" w:firstLine="0"/>
              <w:jc w:val="center"/>
              <w:rPr>
                <w:rFonts w:ascii="Times New Roman" w:hAnsi="Times New Roman"/>
                <w:b/>
                <w:bCs/>
                <w:color w:val="000000" w:themeColor="text1"/>
                <w:kern w:val="0"/>
              </w:rPr>
            </w:pPr>
            <w:r>
              <w:rPr>
                <w:rFonts w:hint="eastAsia" w:ascii="Times New Roman" w:hAnsi="Times New Roman"/>
                <w:b/>
                <w:bCs/>
                <w:color w:val="000000" w:themeColor="text1"/>
                <w:kern w:val="0"/>
              </w:rPr>
              <w:t>张坂镇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201</w:t>
            </w:r>
            <w:r>
              <w:rPr>
                <w:rFonts w:ascii="Times New Roman" w:hAnsi="Times New Roman"/>
                <w:color w:val="000000" w:themeColor="text1"/>
                <w:sz w:val="24"/>
                <w:szCs w:val="24"/>
              </w:rPr>
              <w:t>9</w:t>
            </w:r>
          </w:p>
        </w:tc>
        <w:tc>
          <w:tcPr>
            <w:tcW w:w="1708" w:type="dxa"/>
            <w:shd w:val="clear" w:color="auto" w:fill="auto"/>
            <w:vAlign w:val="center"/>
          </w:tcPr>
          <w:p>
            <w:pPr>
              <w:widowControl/>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265.79</w:t>
            </w:r>
          </w:p>
        </w:tc>
        <w:tc>
          <w:tcPr>
            <w:tcW w:w="17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716.47</w:t>
            </w:r>
          </w:p>
        </w:tc>
        <w:tc>
          <w:tcPr>
            <w:tcW w:w="18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1065.38</w:t>
            </w:r>
          </w:p>
        </w:tc>
        <w:tc>
          <w:tcPr>
            <w:tcW w:w="202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619.58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2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20</w:t>
            </w:r>
          </w:p>
        </w:tc>
        <w:tc>
          <w:tcPr>
            <w:tcW w:w="1708"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320.28</w:t>
            </w:r>
          </w:p>
        </w:tc>
        <w:tc>
          <w:tcPr>
            <w:tcW w:w="17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863.34</w:t>
            </w:r>
          </w:p>
        </w:tc>
        <w:tc>
          <w:tcPr>
            <w:tcW w:w="18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1283.78</w:t>
            </w:r>
          </w:p>
        </w:tc>
        <w:tc>
          <w:tcPr>
            <w:tcW w:w="202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746.59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21</w:t>
            </w:r>
          </w:p>
        </w:tc>
        <w:tc>
          <w:tcPr>
            <w:tcW w:w="1708"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363.33</w:t>
            </w:r>
          </w:p>
        </w:tc>
        <w:tc>
          <w:tcPr>
            <w:tcW w:w="17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979.39</w:t>
            </w:r>
          </w:p>
        </w:tc>
        <w:tc>
          <w:tcPr>
            <w:tcW w:w="18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1456.34</w:t>
            </w:r>
          </w:p>
        </w:tc>
        <w:tc>
          <w:tcPr>
            <w:tcW w:w="202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846.94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2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22</w:t>
            </w:r>
          </w:p>
        </w:tc>
        <w:tc>
          <w:tcPr>
            <w:tcW w:w="1708"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396.31</w:t>
            </w:r>
          </w:p>
        </w:tc>
        <w:tc>
          <w:tcPr>
            <w:tcW w:w="17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1068.30</w:t>
            </w:r>
          </w:p>
        </w:tc>
        <w:tc>
          <w:tcPr>
            <w:tcW w:w="18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1588.55</w:t>
            </w:r>
          </w:p>
        </w:tc>
        <w:tc>
          <w:tcPr>
            <w:tcW w:w="202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923.83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23</w:t>
            </w:r>
          </w:p>
        </w:tc>
        <w:tc>
          <w:tcPr>
            <w:tcW w:w="1708"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435.58</w:t>
            </w:r>
          </w:p>
        </w:tc>
        <w:tc>
          <w:tcPr>
            <w:tcW w:w="17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1174.14</w:t>
            </w:r>
          </w:p>
        </w:tc>
        <w:tc>
          <w:tcPr>
            <w:tcW w:w="18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1745.93</w:t>
            </w:r>
          </w:p>
        </w:tc>
        <w:tc>
          <w:tcPr>
            <w:tcW w:w="202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1015.36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2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r>
              <w:rPr>
                <w:rFonts w:ascii="Times New Roman" w:hAnsi="Times New Roman"/>
                <w:color w:val="000000" w:themeColor="text1"/>
                <w:sz w:val="24"/>
                <w:szCs w:val="24"/>
              </w:rPr>
              <w:t>24</w:t>
            </w:r>
          </w:p>
        </w:tc>
        <w:tc>
          <w:tcPr>
            <w:tcW w:w="1708"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493.67</w:t>
            </w:r>
          </w:p>
        </w:tc>
        <w:tc>
          <w:tcPr>
            <w:tcW w:w="17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1330.74</w:t>
            </w:r>
          </w:p>
        </w:tc>
        <w:tc>
          <w:tcPr>
            <w:tcW w:w="18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1978.80</w:t>
            </w:r>
          </w:p>
        </w:tc>
        <w:tc>
          <w:tcPr>
            <w:tcW w:w="202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1150.78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2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2025</w:t>
            </w:r>
          </w:p>
        </w:tc>
        <w:tc>
          <w:tcPr>
            <w:tcW w:w="1708"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520.48</w:t>
            </w:r>
          </w:p>
        </w:tc>
        <w:tc>
          <w:tcPr>
            <w:tcW w:w="1780"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1403.00</w:t>
            </w:r>
          </w:p>
        </w:tc>
        <w:tc>
          <w:tcPr>
            <w:tcW w:w="1835"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2086.25</w:t>
            </w:r>
          </w:p>
        </w:tc>
        <w:tc>
          <w:tcPr>
            <w:tcW w:w="2021" w:type="dxa"/>
            <w:shd w:val="clear" w:color="auto" w:fill="auto"/>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1213.27</w:t>
            </w:r>
          </w:p>
        </w:tc>
      </w:tr>
    </w:tbl>
    <w:p>
      <w:pPr>
        <w:snapToGrid w:val="0"/>
        <w:spacing w:before="0" w:after="0" w:line="360" w:lineRule="auto"/>
        <w:ind w:left="577" w:hanging="576" w:hangingChars="206"/>
        <w:jc w:val="left"/>
        <w:rPr>
          <w:rFonts w:ascii="Times New Roman" w:hAnsi="Times New Roman"/>
          <w:color w:val="000000" w:themeColor="text1"/>
          <w:kern w:val="0"/>
          <w:sz w:val="28"/>
          <w:szCs w:val="24"/>
        </w:rPr>
      </w:pPr>
    </w:p>
    <w:p>
      <w:pPr>
        <w:widowControl/>
        <w:spacing w:before="0" w:after="0" w:line="240" w:lineRule="auto"/>
        <w:ind w:left="0" w:firstLine="0"/>
        <w:jc w:val="left"/>
        <w:rPr>
          <w:rFonts w:ascii="Times New Roman" w:hAnsi="Times New Roman"/>
          <w:color w:val="000000" w:themeColor="text1"/>
          <w:kern w:val="0"/>
          <w:sz w:val="28"/>
          <w:szCs w:val="24"/>
        </w:rPr>
      </w:pPr>
      <w:r>
        <w:rPr>
          <w:rFonts w:ascii="Times New Roman" w:hAnsi="Times New Roman"/>
          <w:color w:val="000000" w:themeColor="text1"/>
          <w:kern w:val="0"/>
          <w:sz w:val="28"/>
          <w:szCs w:val="24"/>
        </w:rPr>
        <w:br w:type="page"/>
      </w:r>
    </w:p>
    <w:p>
      <w:pPr>
        <w:pStyle w:val="2"/>
        <w:spacing w:beforeLines="0"/>
        <w:ind w:left="420" w:firstLine="0"/>
        <w:rPr>
          <w:rFonts w:ascii="黑体" w:hAnsi="黑体"/>
          <w:b w:val="0"/>
          <w:color w:val="000000" w:themeColor="text1"/>
          <w:sz w:val="44"/>
        </w:rPr>
      </w:pPr>
      <w:bookmarkStart w:id="57" w:name="_Toc528526477"/>
      <w:r>
        <w:rPr>
          <w:rFonts w:hint="eastAsia" w:ascii="黑体" w:hAnsi="黑体"/>
          <w:b w:val="0"/>
          <w:color w:val="000000" w:themeColor="text1"/>
          <w:sz w:val="44"/>
        </w:rPr>
        <w:t>附录二 泉州台商投资区农村物流网络体系</w:t>
      </w:r>
      <w:r>
        <w:rPr>
          <w:rFonts w:ascii="黑体" w:hAnsi="黑体"/>
          <w:b w:val="0"/>
          <w:color w:val="000000" w:themeColor="text1"/>
          <w:sz w:val="44"/>
        </w:rPr>
        <w:t>规划方案评价</w:t>
      </w:r>
      <w:bookmarkEnd w:id="57"/>
      <w:bookmarkStart w:id="58" w:name="_Toc331935753"/>
      <w:bookmarkEnd w:id="58"/>
    </w:p>
    <w:p>
      <w:pPr>
        <w:pStyle w:val="3"/>
        <w:jc w:val="left"/>
        <w:rPr>
          <w:rFonts w:ascii="Times New Roman" w:hAnsi="Times New Roman"/>
          <w:color w:val="000000" w:themeColor="text1"/>
        </w:rPr>
      </w:pPr>
      <w:bookmarkStart w:id="59" w:name="_Toc472969083"/>
      <w:bookmarkStart w:id="60" w:name="_Toc334639787"/>
      <w:bookmarkStart w:id="61" w:name="_Toc528526478"/>
      <w:r>
        <w:rPr>
          <w:rFonts w:hint="eastAsia" w:ascii="Times New Roman" w:hAnsi="Times New Roman"/>
          <w:color w:val="000000" w:themeColor="text1"/>
        </w:rPr>
        <w:t>2.1</w:t>
      </w:r>
      <w:r>
        <w:rPr>
          <w:rFonts w:ascii="Times New Roman" w:hAnsi="Times New Roman"/>
          <w:color w:val="000000" w:themeColor="text1"/>
        </w:rPr>
        <w:t>评价方法与过程</w:t>
      </w:r>
      <w:bookmarkEnd w:id="59"/>
      <w:bookmarkEnd w:id="60"/>
      <w:bookmarkEnd w:id="61"/>
    </w:p>
    <w:p>
      <w:pPr>
        <w:spacing w:before="0" w:after="0" w:line="360" w:lineRule="auto"/>
        <w:ind w:left="0" w:firstLine="560" w:firstLineChars="200"/>
        <w:rPr>
          <w:rFonts w:ascii="宋体" w:hAnsi="宋体" w:cs="宋体"/>
          <w:color w:val="000000" w:themeColor="text1"/>
          <w:sz w:val="28"/>
          <w:szCs w:val="28"/>
        </w:rPr>
      </w:pPr>
      <w:bookmarkStart w:id="62" w:name="_Toc330913285"/>
      <w:r>
        <w:rPr>
          <w:rFonts w:ascii="宋体" w:hAnsi="宋体" w:cs="宋体"/>
          <w:color w:val="000000" w:themeColor="text1"/>
          <w:sz w:val="28"/>
          <w:szCs w:val="28"/>
        </w:rPr>
        <w:t>规划方案生成前，</w:t>
      </w:r>
      <w:bookmarkStart w:id="63" w:name="_Hlk526519358"/>
      <w:r>
        <w:rPr>
          <w:rFonts w:hint="eastAsia" w:ascii="宋体" w:hAnsi="宋体" w:cs="宋体"/>
          <w:color w:val="000000" w:themeColor="text1"/>
          <w:sz w:val="28"/>
          <w:szCs w:val="28"/>
        </w:rPr>
        <w:t>物流网络体系</w:t>
      </w:r>
      <w:bookmarkEnd w:id="63"/>
      <w:r>
        <w:rPr>
          <w:rFonts w:ascii="宋体" w:hAnsi="宋体" w:cs="宋体"/>
          <w:color w:val="000000" w:themeColor="text1"/>
          <w:sz w:val="28"/>
          <w:szCs w:val="28"/>
        </w:rPr>
        <w:t>评价的作用是进行现状分析，研究存在的问题及其成因。而规划设计过程中，评价可作为规划者的一个辅助工具，引导规划者做出较优的方案；在方案实施以后，可以借助评价分析实施方案的效果。</w:t>
      </w:r>
      <w:r>
        <w:rPr>
          <w:rFonts w:hint="eastAsia" w:ascii="宋体" w:hAnsi="宋体" w:cs="宋体"/>
          <w:color w:val="000000" w:themeColor="text1"/>
          <w:sz w:val="28"/>
          <w:szCs w:val="28"/>
        </w:rPr>
        <w:t>物流网络体系</w:t>
      </w:r>
      <w:r>
        <w:rPr>
          <w:rFonts w:ascii="宋体" w:hAnsi="宋体" w:cs="宋体"/>
          <w:color w:val="000000" w:themeColor="text1"/>
          <w:sz w:val="28"/>
          <w:szCs w:val="28"/>
        </w:rPr>
        <w:t>评价的内容主要包括三个方面：</w:t>
      </w:r>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（1）面向系统使用者的</w:t>
      </w:r>
      <w:r>
        <w:rPr>
          <w:rFonts w:hint="eastAsia" w:ascii="宋体" w:hAnsi="宋体" w:cs="宋体"/>
          <w:color w:val="000000" w:themeColor="text1"/>
          <w:sz w:val="28"/>
          <w:szCs w:val="28"/>
        </w:rPr>
        <w:t>物流</w:t>
      </w:r>
      <w:r>
        <w:rPr>
          <w:rFonts w:ascii="宋体" w:hAnsi="宋体" w:cs="宋体"/>
          <w:color w:val="000000" w:themeColor="text1"/>
          <w:sz w:val="28"/>
          <w:szCs w:val="28"/>
        </w:rPr>
        <w:t>网络技术评价；</w:t>
      </w:r>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（2）面向</w:t>
      </w:r>
      <w:r>
        <w:rPr>
          <w:rFonts w:hint="eastAsia" w:ascii="宋体" w:hAnsi="宋体" w:cs="宋体"/>
          <w:color w:val="000000" w:themeColor="text1"/>
          <w:sz w:val="28"/>
          <w:szCs w:val="28"/>
        </w:rPr>
        <w:t>物流</w:t>
      </w:r>
      <w:r>
        <w:rPr>
          <w:rFonts w:ascii="宋体" w:hAnsi="宋体" w:cs="宋体"/>
          <w:color w:val="000000" w:themeColor="text1"/>
          <w:sz w:val="28"/>
          <w:szCs w:val="28"/>
        </w:rPr>
        <w:t>企业和行业主管部门的经济效益评价；</w:t>
      </w:r>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（3）面向政府及全体公众的社会环境效益评价。</w:t>
      </w:r>
    </w:p>
    <w:p>
      <w:pPr>
        <w:spacing w:before="0" w:after="0" w:line="360" w:lineRule="auto"/>
        <w:ind w:left="0" w:firstLine="560" w:firstLineChars="200"/>
        <w:rPr>
          <w:color w:val="000000" w:themeColor="text1"/>
          <w:kern w:val="0"/>
          <w:sz w:val="28"/>
        </w:rPr>
      </w:pPr>
      <w:r>
        <w:rPr>
          <w:rFonts w:ascii="宋体" w:hAnsi="宋体" w:cs="宋体"/>
          <w:color w:val="000000" w:themeColor="text1"/>
          <w:sz w:val="28"/>
          <w:szCs w:val="28"/>
        </w:rPr>
        <w:t>由于</w:t>
      </w:r>
      <w:bookmarkStart w:id="64" w:name="_Hlk526519435"/>
      <w:r>
        <w:rPr>
          <w:rFonts w:hint="eastAsia" w:ascii="宋体" w:hAnsi="宋体" w:cs="宋体"/>
          <w:color w:val="000000" w:themeColor="text1"/>
          <w:sz w:val="28"/>
          <w:szCs w:val="28"/>
        </w:rPr>
        <w:t>物流网络体系</w:t>
      </w:r>
      <w:bookmarkEnd w:id="64"/>
      <w:r>
        <w:rPr>
          <w:rFonts w:ascii="宋体" w:hAnsi="宋体" w:cs="宋体"/>
          <w:color w:val="000000" w:themeColor="text1"/>
          <w:sz w:val="28"/>
          <w:szCs w:val="28"/>
        </w:rPr>
        <w:t>的技术评价、经济评价和社会环境评价都分别具有多项指标，若以单一指标进行评价，会出现各方案之间优劣程度不一致，因此应该对</w:t>
      </w:r>
      <w:r>
        <w:rPr>
          <w:rFonts w:hint="eastAsia" w:ascii="宋体" w:hAnsi="宋体" w:cs="宋体"/>
          <w:color w:val="000000" w:themeColor="text1"/>
          <w:sz w:val="28"/>
          <w:szCs w:val="28"/>
        </w:rPr>
        <w:t>物流网络体系</w:t>
      </w:r>
      <w:r>
        <w:rPr>
          <w:rFonts w:ascii="宋体" w:hAnsi="宋体" w:cs="宋体"/>
          <w:color w:val="000000" w:themeColor="text1"/>
          <w:sz w:val="28"/>
          <w:szCs w:val="28"/>
        </w:rPr>
        <w:t>规划方案进行综合评价。</w:t>
      </w:r>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highlight w:val="lightGray"/>
          <w:lang w:bidi="en-US"/>
        </w:rPr>
        <w:t>2.1.1</w:t>
      </w:r>
      <w:r>
        <w:rPr>
          <w:rFonts w:eastAsia="黑体"/>
          <w:bCs/>
          <w:color w:val="000000" w:themeColor="text1"/>
          <w:sz w:val="30"/>
          <w:szCs w:val="30"/>
          <w:lang w:bidi="en-US"/>
        </w:rPr>
        <w:t>指标体系建立的原则</w:t>
      </w:r>
      <w:bookmarkEnd w:id="62"/>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评价是按照一定的规则与方法，对评判对象的某一方面或多方面或全面的综合状况做出优劣评定。评价指标体系的建立应遵循以下原则：</w:t>
      </w:r>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（1）整体完备性原则：指标体系应能全面准确地反映</w:t>
      </w:r>
      <w:r>
        <w:rPr>
          <w:rFonts w:hint="eastAsia" w:ascii="宋体" w:hAnsi="宋体" w:cs="宋体"/>
          <w:color w:val="000000" w:themeColor="text1"/>
          <w:sz w:val="28"/>
          <w:szCs w:val="28"/>
        </w:rPr>
        <w:t>物流网络</w:t>
      </w:r>
      <w:r>
        <w:rPr>
          <w:rFonts w:ascii="宋体" w:hAnsi="宋体" w:cs="宋体"/>
          <w:color w:val="000000" w:themeColor="text1"/>
          <w:sz w:val="28"/>
          <w:szCs w:val="28"/>
        </w:rPr>
        <w:t>的特征，结合定量指标和定性指标，并应具有结构清晰、层次分明、指标定义清楚、计算方法可行等特点。</w:t>
      </w:r>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（2）科学性原则：在保证数据来源的可靠性、准确性的同时，指标的选择与指标权重的确定、数据计算与合成必须以公认的科学理论为依据。</w:t>
      </w:r>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（3）目的性原则：每一个评价指标应能独立反映</w:t>
      </w:r>
      <w:r>
        <w:rPr>
          <w:rFonts w:hint="eastAsia" w:ascii="宋体" w:hAnsi="宋体" w:cs="宋体"/>
          <w:color w:val="000000" w:themeColor="text1"/>
          <w:sz w:val="28"/>
          <w:szCs w:val="28"/>
        </w:rPr>
        <w:t>物流网络</w:t>
      </w:r>
      <w:r>
        <w:rPr>
          <w:rFonts w:ascii="宋体" w:hAnsi="宋体" w:cs="宋体"/>
          <w:color w:val="000000" w:themeColor="text1"/>
          <w:sz w:val="28"/>
          <w:szCs w:val="28"/>
        </w:rPr>
        <w:t>规划的某一具体的特征，并与规划方案的总目标相联系。</w:t>
      </w:r>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（4）可测性原则：评价指标尽可能采用定量指标，能通过直接或间接的方法获得数据。客观现象复杂多变，只有定量化才能准确地分析和比较，同时也为建立模型、进行数学处理奠定基础。</w:t>
      </w:r>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（5）灵敏性原则：</w:t>
      </w:r>
      <w:r>
        <w:rPr>
          <w:rFonts w:hint="eastAsia" w:ascii="宋体" w:hAnsi="宋体" w:cs="宋体"/>
          <w:color w:val="000000" w:themeColor="text1"/>
          <w:sz w:val="28"/>
          <w:szCs w:val="28"/>
        </w:rPr>
        <w:t>规划</w:t>
      </w:r>
      <w:r>
        <w:rPr>
          <w:rFonts w:ascii="宋体" w:hAnsi="宋体" w:cs="宋体"/>
          <w:color w:val="000000" w:themeColor="text1"/>
          <w:sz w:val="28"/>
          <w:szCs w:val="28"/>
        </w:rPr>
        <w:t>方案的变化应能使评价指标变化，其变化的范围应与</w:t>
      </w:r>
      <w:r>
        <w:rPr>
          <w:rFonts w:hint="eastAsia" w:ascii="宋体" w:hAnsi="宋体" w:cs="宋体"/>
          <w:color w:val="000000" w:themeColor="text1"/>
          <w:sz w:val="28"/>
          <w:szCs w:val="28"/>
        </w:rPr>
        <w:t>网络</w:t>
      </w:r>
      <w:r>
        <w:rPr>
          <w:rFonts w:ascii="宋体" w:hAnsi="宋体" w:cs="宋体"/>
          <w:color w:val="000000" w:themeColor="text1"/>
          <w:sz w:val="28"/>
          <w:szCs w:val="28"/>
        </w:rPr>
        <w:t>方案优化的目标相联系。</w:t>
      </w:r>
    </w:p>
    <w:p>
      <w:pPr>
        <w:spacing w:before="0" w:after="0" w:line="360" w:lineRule="auto"/>
        <w:ind w:left="0" w:firstLine="560" w:firstLineChars="200"/>
        <w:rPr>
          <w:color w:val="000000" w:themeColor="text1"/>
          <w:sz w:val="28"/>
        </w:rPr>
      </w:pPr>
      <w:r>
        <w:rPr>
          <w:rFonts w:ascii="宋体" w:hAnsi="宋体" w:cs="宋体"/>
          <w:color w:val="000000" w:themeColor="text1"/>
          <w:sz w:val="28"/>
          <w:szCs w:val="28"/>
        </w:rPr>
        <w:t>（6）可操作性原则：评价的目的是验证</w:t>
      </w:r>
      <w:r>
        <w:rPr>
          <w:rFonts w:hint="eastAsia" w:ascii="宋体" w:hAnsi="宋体" w:cs="宋体"/>
          <w:color w:val="000000" w:themeColor="text1"/>
          <w:sz w:val="28"/>
          <w:szCs w:val="28"/>
        </w:rPr>
        <w:t>物流网络体系</w:t>
      </w:r>
      <w:r>
        <w:rPr>
          <w:rFonts w:ascii="宋体" w:hAnsi="宋体" w:cs="宋体"/>
          <w:color w:val="000000" w:themeColor="text1"/>
          <w:sz w:val="28"/>
          <w:szCs w:val="28"/>
        </w:rPr>
        <w:t>规划方案的合理性和优越性，因而评价指标体系尽量选取日常统计指标或容易获得的指标，以便直观、简便的说明问题。</w:t>
      </w:r>
    </w:p>
    <w:p>
      <w:pPr>
        <w:pStyle w:val="4"/>
        <w:widowControl/>
        <w:spacing w:before="240" w:after="60" w:line="240" w:lineRule="auto"/>
        <w:jc w:val="left"/>
        <w:rPr>
          <w:rFonts w:eastAsia="黑体"/>
          <w:bCs/>
          <w:color w:val="000000" w:themeColor="text1"/>
          <w:sz w:val="30"/>
          <w:szCs w:val="30"/>
          <w:lang w:bidi="en-US"/>
        </w:rPr>
      </w:pPr>
      <w:bookmarkStart w:id="65" w:name="_Toc330913286"/>
      <w:r>
        <w:rPr>
          <w:rFonts w:hint="eastAsia" w:eastAsia="黑体"/>
          <w:bCs/>
          <w:color w:val="000000" w:themeColor="text1"/>
          <w:sz w:val="30"/>
          <w:szCs w:val="30"/>
          <w:lang w:bidi="en-US"/>
        </w:rPr>
        <w:t>2.1.2</w:t>
      </w:r>
      <w:r>
        <w:rPr>
          <w:rFonts w:eastAsia="黑体"/>
          <w:bCs/>
          <w:color w:val="000000" w:themeColor="text1"/>
          <w:sz w:val="30"/>
          <w:szCs w:val="30"/>
          <w:lang w:bidi="en-US"/>
        </w:rPr>
        <w:t>指标体系的构成</w:t>
      </w:r>
      <w:bookmarkEnd w:id="65"/>
    </w:p>
    <w:p>
      <w:pPr>
        <w:spacing w:before="0" w:after="0" w:line="360" w:lineRule="auto"/>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物流网络体系</w:t>
      </w:r>
      <w:r>
        <w:rPr>
          <w:rFonts w:ascii="宋体" w:hAnsi="宋体" w:cs="宋体"/>
          <w:color w:val="000000" w:themeColor="text1"/>
          <w:sz w:val="28"/>
          <w:szCs w:val="28"/>
        </w:rPr>
        <w:t>规划方案评价是一个复杂的系统工程，一般很难直接建立最终的评价指标，根据实际评价问题，将指标体系进行分层处理，根据模糊综合评判法和层次分析法的科学原理，对泉州台商投资区</w:t>
      </w:r>
      <w:r>
        <w:rPr>
          <w:rFonts w:hint="eastAsia" w:ascii="宋体" w:hAnsi="宋体" w:cs="宋体"/>
          <w:color w:val="000000" w:themeColor="text1"/>
          <w:sz w:val="28"/>
          <w:szCs w:val="28"/>
        </w:rPr>
        <w:t>三级农村物流网络体系</w:t>
      </w:r>
      <w:r>
        <w:rPr>
          <w:rFonts w:ascii="宋体" w:hAnsi="宋体" w:cs="宋体"/>
          <w:color w:val="000000" w:themeColor="text1"/>
          <w:sz w:val="28"/>
          <w:szCs w:val="28"/>
        </w:rPr>
        <w:t>规划方案进行评价。评价指标体系共分三层，即目标层、准则层和指标层。目标层反映评价的最终目标；准则层反映评价目标的各个侧面，由具体评价指标表征；指标层是最原始的可直接获取的或测量的基础数据。泉州台商投资区</w:t>
      </w:r>
      <w:r>
        <w:rPr>
          <w:rFonts w:hint="eastAsia" w:ascii="宋体" w:hAnsi="宋体" w:cs="宋体"/>
          <w:color w:val="000000" w:themeColor="text1"/>
          <w:sz w:val="28"/>
          <w:szCs w:val="28"/>
        </w:rPr>
        <w:t>农村物流网络体系</w:t>
      </w:r>
      <w:r>
        <w:rPr>
          <w:rFonts w:ascii="宋体" w:hAnsi="宋体" w:cs="宋体"/>
          <w:color w:val="000000" w:themeColor="text1"/>
          <w:sz w:val="28"/>
          <w:szCs w:val="28"/>
        </w:rPr>
        <w:t>规划方案评价指标体系见</w:t>
      </w:r>
      <w:r>
        <w:fldChar w:fldCharType="begin"/>
      </w:r>
      <w:r>
        <w:instrText xml:space="preserve">REF _Ref332695062 \h  \* MERGEFORMAT </w:instrText>
      </w:r>
      <w:r>
        <w:fldChar w:fldCharType="separate"/>
      </w:r>
      <w:r>
        <w:rPr>
          <w:rFonts w:ascii="宋体" w:hAnsi="宋体" w:cs="宋体"/>
          <w:color w:val="000000" w:themeColor="text1"/>
          <w:sz w:val="28"/>
          <w:szCs w:val="28"/>
        </w:rPr>
        <w:t>图</w:t>
      </w:r>
      <w:r>
        <w:rPr>
          <w:rFonts w:hint="eastAsia" w:ascii="宋体" w:hAnsi="宋体" w:cs="宋体"/>
          <w:color w:val="000000" w:themeColor="text1"/>
          <w:sz w:val="28"/>
          <w:szCs w:val="28"/>
        </w:rPr>
        <w:t>2</w:t>
      </w:r>
      <w:r>
        <w:rPr>
          <w:rFonts w:ascii="宋体" w:hAnsi="宋体" w:cs="宋体"/>
          <w:color w:val="000000" w:themeColor="text1"/>
          <w:sz w:val="28"/>
          <w:szCs w:val="28"/>
        </w:rPr>
        <w:noBreakHyphen/>
      </w:r>
      <w:r>
        <w:rPr>
          <w:rFonts w:ascii="宋体" w:hAnsi="宋体" w:cs="宋体"/>
          <w:color w:val="000000" w:themeColor="text1"/>
          <w:sz w:val="28"/>
          <w:szCs w:val="28"/>
        </w:rPr>
        <w:t>1</w:t>
      </w:r>
      <w:r>
        <w:rPr>
          <w:rFonts w:ascii="宋体" w:hAnsi="宋体" w:cs="宋体"/>
          <w:color w:val="000000" w:themeColor="text1"/>
          <w:sz w:val="28"/>
          <w:szCs w:val="28"/>
        </w:rPr>
        <w:fldChar w:fldCharType="end"/>
      </w:r>
      <w:r>
        <w:rPr>
          <w:rFonts w:ascii="宋体" w:hAnsi="宋体" w:cs="宋体"/>
          <w:color w:val="000000" w:themeColor="text1"/>
          <w:sz w:val="28"/>
          <w:szCs w:val="28"/>
        </w:rPr>
        <w:t>所示。</w:t>
      </w:r>
    </w:p>
    <w:p>
      <w:pPr>
        <w:spacing w:before="0" w:after="0" w:line="240" w:lineRule="auto"/>
        <w:ind w:left="0" w:firstLine="422" w:firstLineChars="200"/>
        <w:rPr>
          <w:color w:val="000000" w:themeColor="text1"/>
          <w:kern w:val="0"/>
          <w:sz w:val="28"/>
        </w:rPr>
      </w:pPr>
      <w:r>
        <w:rPr>
          <w:b/>
          <w:color w:val="000000" w:themeColor="text1"/>
        </w:rPr>
        <w:pict>
          <v:shape id="自选图形 6" o:spid="_x0000_s1628" o:spt="32" type="#_x0000_t32" style="position:absolute;left:0pt;margin-left:301.1pt;margin-top:61.05pt;height:0pt;width:65.35pt;rotation:5898240f;z-index:251682816;mso-width-relative:page;mso-height-relative:page;" filled="f" coordsize="21600,21600" o:gfxdata="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5Ixr1gAAAAkBAAAPAAAA&#10;AAAAAAEAIAAAACIAAABkcnMvZG93bnJldi54bWxQSwECFAAUAAAACACHTuJAD6h7BN4BAACZAwAA&#10;DgAAAAAAAAABACAAAAAlAQAAZHJzL2Uyb0RvYy54bWxQSwUGAAAAAAYABgBZAQAAdQUAAAAA&#10;" adj="-140028,-1,-140028">
            <v:path arrowok="t"/>
            <v:fill on="f" focussize="0,0"/>
            <v:stroke weight="1.5pt" endarrow="block"/>
            <v:imagedata o:title=""/>
            <o:lock v:ext="edit"/>
          </v:shape>
        </w:pict>
      </w:r>
      <w:r>
        <w:rPr>
          <w:b/>
          <w:color w:val="000000" w:themeColor="text1"/>
        </w:rPr>
        <w:pict>
          <v:shape id="自选图形 5" o:spid="_x0000_s1627" o:spt="32" type="#_x0000_t32" style="position:absolute;left:0pt;margin-left:121.65pt;margin-top:77pt;height:0pt;width:97.3pt;rotation:5898240f;z-index:251681792;mso-width-relative:page;mso-height-relative:page;" filled="f" coordsize="21600,21600" o:gfxdata="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3ObVbXAAAACgEAAA8A&#10;AAAAAAAAAQAgAAAAIgAAAGRycy9kb3ducmV2LnhtbFBLAQIUABQAAAAIAIdO4kAgAsEH3wEAAJoD&#10;AAAOAAAAAAAAAAEAIAAAACYBAABkcnMvZTJvRG9jLnhtbFBLBQYAAAAABgAGAFkBAAB3BQAAAAA=&#10;" adj="-57752,-1,-57752">
            <v:path arrowok="t"/>
            <v:fill on="f" focussize="0,0"/>
            <v:stroke weight="1.5pt" endarrow="block"/>
            <v:imagedata o:title=""/>
            <o:lock v:ext="edit"/>
          </v:shape>
        </w:pict>
      </w:r>
      <w:r>
        <w:rPr>
          <w:b/>
          <w:color w:val="000000" w:themeColor="text1"/>
        </w:rPr>
        <w:pict>
          <v:shape id="自选图形 4" o:spid="_x0000_s1626" o:spt="34" type="#_x0000_t34" style="position:absolute;left:0pt;flip:x;margin-left:19.7pt;margin-top:56.8pt;height:0.05pt;width:57pt;rotation:5898240f;z-index:251680768;mso-width-relative:page;mso-height-relative:page;" filled="f" coordsize="21600,21600" o:gfxdata="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MuYKL1gAAAAgBAAAPAAAA&#10;AAAAAAEAIAAAACIAAABkcnMvZG93bnJldi54bWxQSwECFAAUAAAACACHTuJAYVUYtt4BAACZAwAA&#10;DgAAAAAAAAABACAAAAAlAQAAZHJzL2Uyb0RvYy54bWxQSwUGAAAAAAYABgBZAQAAdQUAAAAA&#10;" adj=",70308000,-52295">
            <v:path arrowok="t"/>
            <v:fill on="f" focussize="0,0"/>
            <v:stroke weight="1.5pt" endarrow="block"/>
            <v:imagedata o:title=""/>
            <o:lock v:ext="edit"/>
          </v:shape>
        </w:pict>
      </w:r>
      <w:r>
        <w:rPr>
          <w:b/>
          <w:color w:val="000000" w:themeColor="text1"/>
        </w:rPr>
        <w:pict>
          <v:shape id="自选图形 637" o:spid="_x0000_s1630" o:spt="32" type="#_x0000_t32" style="position:absolute;left:0pt;margin-left:46.5pt;margin-top:28.35pt;height:0pt;width:287.3pt;z-index:251684864;mso-width-relative:page;mso-height-relative:page;" filled="f" coordsize="21600,21600" o:gfxdata="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8hulc0wAAAAgBAAAPAAAAAAAA&#10;AAEAIAAAACIAAABkcnMvZG93bnJldi54bWxQSwECFAAUAAAACACHTuJA+p0mdt4BAACaAwAADgAA&#10;AAAAAAABACAAAAAiAQAAZHJzL2Uyb0RvYy54bWxQSwUGAAAAAAYABgBZAQAAcgUAAAAA&#10;" adj="-10251,-1,-10251">
            <v:path arrowok="t"/>
            <v:fill on="f" focussize="0,0"/>
            <v:stroke weight="1.5pt"/>
            <v:imagedata o:title=""/>
            <o:lock v:ext="edit"/>
          </v:shape>
        </w:pict>
      </w:r>
      <w:r>
        <w:rPr>
          <w:rFonts w:hint="eastAsia"/>
          <w:color w:val="000000" w:themeColor="text1"/>
          <w:kern w:val="0"/>
          <w:sz w:val="28"/>
        </w:rPr>
        <w:t>目标层            准则层                 指标层</w:t>
      </w:r>
    </w:p>
    <w:p>
      <w:pPr>
        <w:ind w:left="0" w:firstLine="0"/>
        <w:jc w:val="left"/>
        <w:rPr>
          <w:b/>
          <w:color w:val="000000" w:themeColor="text1"/>
        </w:rPr>
      </w:pPr>
    </w:p>
    <w:p>
      <w:pPr>
        <w:jc w:val="left"/>
        <w:rPr>
          <w:rFonts w:ascii="Times New Roman" w:hAnsi="Times New Roman"/>
          <w:color w:val="000000" w:themeColor="text1"/>
        </w:rPr>
      </w:pPr>
      <w:r>
        <w:rPr>
          <w:rFonts w:ascii="Times New Roman" w:hAnsi="Times New Roman"/>
          <w:color w:val="000000" w:themeColor="text1"/>
        </w:rPr>
        <w:pict>
          <v:shape id="文本框 2" o:spid="_x0000_s1629" o:spt="202" type="#_x0000_t202" style="position:absolute;left:0pt;margin-left:35.25pt;margin-top:23.55pt;height:249.85pt;width:38.25pt;z-index:251683840;v-text-anchor:middle;mso-width-relative:page;mso-height-relative:page;" stroked="f" coordsize="21600,21600" o:gfxdata="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KjqftkAAAAJAQAADwAAAAAAAAABACAAAAAiAAAA&#10;ZHJzL2Rvd25yZXYueG1sUEsBAhQAFAAAAAgAh07iQPjbeKrNAQAAcgMAAA4AAAAAAAAAAQAgAAAA&#10;KAEAAGRycy9lMm9Eb2MueG1sUEsFBgAAAAAGAAYAWQEAAGcFAAAAAA==&#10;">
            <v:path/>
            <v:fill focussize="0,0"/>
            <v:stroke on="f" joinstyle="miter"/>
            <v:imagedata o:title=""/>
            <o:lock v:ext="edit"/>
            <v:textbox inset="0mm,0mm,0mm,0mm" style="layout-flow:vertical-ideographic;">
              <w:txbxContent>
                <w:p>
                  <w:r>
                    <w:rPr>
                      <w:rFonts w:hint="eastAsia"/>
                      <w:sz w:val="28"/>
                    </w:rPr>
                    <w:t>农村物流网点体系规划方案综合评价</w:t>
                  </w:r>
                  <w:r>
                    <w:rPr>
                      <w:rFonts w:hint="eastAsia"/>
                      <w:b/>
                      <w:sz w:val="28"/>
                    </w:rPr>
                    <w:t>A</w:t>
                  </w:r>
                </w:p>
              </w:txbxContent>
            </v:textbox>
          </v:shape>
        </w:pict>
      </w:r>
      <w:r>
        <w:rPr>
          <w:rFonts w:hint="eastAsia" w:ascii="Times New Roman" w:hAnsi="Times New Roman"/>
          <w:color w:val="000000" w:themeColor="text1"/>
        </w:rPr>
        <w:drawing>
          <wp:inline distT="0" distB="0" distL="0" distR="0">
            <wp:extent cx="5476875" cy="3952875"/>
            <wp:effectExtent l="0" t="0" r="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inline>
        </w:drawing>
      </w:r>
    </w:p>
    <w:p>
      <w:pPr>
        <w:pStyle w:val="7"/>
        <w:rPr>
          <w:rFonts w:ascii="Times New Roman" w:hAnsi="Times New Roman" w:eastAsia="宋体"/>
          <w:b/>
          <w:color w:val="000000" w:themeColor="text1"/>
          <w:sz w:val="24"/>
          <w:szCs w:val="24"/>
        </w:rPr>
      </w:pPr>
      <w:bookmarkStart w:id="66" w:name="_Ref332695062"/>
      <w:bookmarkStart w:id="67" w:name="_Toc334639940"/>
      <w:bookmarkStart w:id="68" w:name="_Toc470272782"/>
      <w:r>
        <w:rPr>
          <w:rFonts w:ascii="Times New Roman" w:hAnsi="Times New Roman" w:eastAsia="宋体"/>
          <w:b/>
          <w:color w:val="000000" w:themeColor="text1"/>
          <w:sz w:val="24"/>
          <w:szCs w:val="24"/>
        </w:rPr>
        <w:t>图</w:t>
      </w:r>
      <w:r>
        <w:rPr>
          <w:rFonts w:hint="eastAsia" w:ascii="Times New Roman" w:hAnsi="Times New Roman" w:eastAsia="宋体"/>
          <w:b/>
          <w:color w:val="000000" w:themeColor="text1"/>
          <w:sz w:val="24"/>
          <w:szCs w:val="24"/>
        </w:rPr>
        <w:t>2</w:t>
      </w:r>
      <w:r>
        <w:rPr>
          <w:rFonts w:ascii="Times New Roman" w:hAnsi="Times New Roman" w:eastAsia="宋体"/>
          <w:b/>
          <w:color w:val="000000" w:themeColor="text1"/>
          <w:sz w:val="24"/>
          <w:szCs w:val="24"/>
        </w:rPr>
        <w:noBreakHyphen/>
      </w:r>
      <w:r>
        <w:rPr>
          <w:rFonts w:ascii="Times New Roman" w:hAnsi="Times New Roman" w:eastAsia="宋体"/>
          <w:b/>
          <w:color w:val="000000" w:themeColor="text1"/>
          <w:sz w:val="24"/>
          <w:szCs w:val="24"/>
        </w:rPr>
        <w:fldChar w:fldCharType="begin"/>
      </w:r>
      <w:r>
        <w:rPr>
          <w:rFonts w:ascii="Times New Roman" w:hAnsi="Times New Roman" w:eastAsia="宋体"/>
          <w:b/>
          <w:color w:val="000000" w:themeColor="text1"/>
          <w:sz w:val="24"/>
          <w:szCs w:val="24"/>
        </w:rPr>
        <w:instrText xml:space="preserve"> SEQ 图 \* ARABIC \s 1 </w:instrText>
      </w:r>
      <w:r>
        <w:rPr>
          <w:rFonts w:ascii="Times New Roman" w:hAnsi="Times New Roman" w:eastAsia="宋体"/>
          <w:b/>
          <w:color w:val="000000" w:themeColor="text1"/>
          <w:sz w:val="24"/>
          <w:szCs w:val="24"/>
        </w:rPr>
        <w:fldChar w:fldCharType="separate"/>
      </w:r>
      <w:r>
        <w:rPr>
          <w:rFonts w:ascii="Times New Roman" w:hAnsi="Times New Roman" w:eastAsia="宋体"/>
          <w:b/>
          <w:color w:val="000000" w:themeColor="text1"/>
          <w:sz w:val="24"/>
          <w:szCs w:val="24"/>
        </w:rPr>
        <w:t>1</w:t>
      </w:r>
      <w:r>
        <w:rPr>
          <w:rFonts w:ascii="Times New Roman" w:hAnsi="Times New Roman" w:eastAsia="宋体"/>
          <w:b/>
          <w:color w:val="000000" w:themeColor="text1"/>
          <w:sz w:val="24"/>
          <w:szCs w:val="24"/>
        </w:rPr>
        <w:fldChar w:fldCharType="end"/>
      </w:r>
      <w:bookmarkEnd w:id="66"/>
      <w:r>
        <w:rPr>
          <w:rFonts w:ascii="Times New Roman" w:hAnsi="Times New Roman" w:eastAsia="宋体"/>
          <w:b/>
          <w:color w:val="000000" w:themeColor="text1"/>
          <w:sz w:val="24"/>
          <w:szCs w:val="24"/>
        </w:rPr>
        <w:t>规划方案指标评价体系</w:t>
      </w:r>
      <w:bookmarkEnd w:id="67"/>
      <w:bookmarkEnd w:id="68"/>
    </w:p>
    <w:p>
      <w:pPr>
        <w:spacing w:before="0" w:after="0" w:line="360" w:lineRule="auto"/>
        <w:ind w:left="0" w:firstLine="560" w:firstLineChars="200"/>
        <w:rPr>
          <w:rFonts w:ascii="宋体" w:hAnsi="宋体" w:cs="宋体"/>
          <w:color w:val="000000" w:themeColor="text1"/>
          <w:sz w:val="28"/>
          <w:szCs w:val="28"/>
        </w:rPr>
      </w:pPr>
      <w:r>
        <w:rPr>
          <w:rFonts w:ascii="宋体" w:hAnsi="宋体" w:cs="宋体"/>
          <w:color w:val="000000" w:themeColor="text1"/>
          <w:sz w:val="28"/>
          <w:szCs w:val="28"/>
        </w:rPr>
        <w:t>（1）准则层的构成及意义</w:t>
      </w:r>
    </w:p>
    <w:p>
      <w:pPr>
        <w:spacing w:before="0" w:after="0" w:line="360" w:lineRule="auto"/>
        <w:ind w:left="0" w:firstLine="560" w:firstLineChars="200"/>
        <w:rPr>
          <w:color w:val="000000" w:themeColor="text1"/>
          <w:kern w:val="0"/>
          <w:sz w:val="28"/>
        </w:rPr>
      </w:pPr>
      <w:r>
        <w:rPr>
          <w:rFonts w:ascii="宋体" w:hAnsi="宋体" w:cs="宋体"/>
          <w:color w:val="000000" w:themeColor="text1"/>
          <w:sz w:val="28"/>
          <w:szCs w:val="28"/>
        </w:rPr>
        <w:t>准则层主要反映影响总体目标的各个侧面，分为3类，即网</w:t>
      </w:r>
      <w:r>
        <w:rPr>
          <w:rFonts w:hint="eastAsia" w:ascii="宋体" w:hAnsi="宋体" w:cs="宋体"/>
          <w:color w:val="000000" w:themeColor="text1"/>
          <w:sz w:val="28"/>
          <w:szCs w:val="28"/>
        </w:rPr>
        <w:t>点</w:t>
      </w:r>
      <w:r>
        <w:rPr>
          <w:rFonts w:ascii="宋体" w:hAnsi="宋体" w:cs="宋体"/>
          <w:color w:val="000000" w:themeColor="text1"/>
          <w:sz w:val="28"/>
          <w:szCs w:val="28"/>
        </w:rPr>
        <w:t>结构、设施水平、和服务水平。前两类是关于</w:t>
      </w:r>
      <w:bookmarkStart w:id="69" w:name="_Hlk526583368"/>
      <w:r>
        <w:rPr>
          <w:rFonts w:hint="eastAsia" w:ascii="宋体" w:hAnsi="宋体" w:cs="宋体"/>
          <w:color w:val="000000" w:themeColor="text1"/>
          <w:sz w:val="28"/>
          <w:szCs w:val="28"/>
        </w:rPr>
        <w:t>农村物流网点</w:t>
      </w:r>
      <w:bookmarkEnd w:id="69"/>
      <w:r>
        <w:rPr>
          <w:rFonts w:ascii="宋体" w:hAnsi="宋体" w:cs="宋体"/>
          <w:color w:val="000000" w:themeColor="text1"/>
          <w:sz w:val="28"/>
          <w:szCs w:val="28"/>
        </w:rPr>
        <w:t>规划本身的技术性能指标，是从</w:t>
      </w:r>
      <w:r>
        <w:rPr>
          <w:rFonts w:hint="eastAsia" w:ascii="宋体" w:hAnsi="宋体" w:cs="宋体"/>
          <w:color w:val="000000" w:themeColor="text1"/>
          <w:sz w:val="28"/>
          <w:szCs w:val="28"/>
        </w:rPr>
        <w:t>农村物流网点</w:t>
      </w:r>
      <w:r>
        <w:rPr>
          <w:rFonts w:ascii="宋体" w:hAnsi="宋体" w:cs="宋体"/>
          <w:color w:val="000000" w:themeColor="text1"/>
          <w:sz w:val="28"/>
          <w:szCs w:val="28"/>
        </w:rPr>
        <w:t>的技术水平和设施水平方面分析方案的合理性，其目的是揭示</w:t>
      </w:r>
      <w:r>
        <w:rPr>
          <w:rFonts w:hint="eastAsia" w:ascii="宋体" w:hAnsi="宋体" w:cs="宋体"/>
          <w:color w:val="000000" w:themeColor="text1"/>
          <w:sz w:val="28"/>
          <w:szCs w:val="28"/>
        </w:rPr>
        <w:t>农村物流网点</w:t>
      </w:r>
      <w:r>
        <w:rPr>
          <w:rFonts w:ascii="宋体" w:hAnsi="宋体" w:cs="宋体"/>
          <w:color w:val="000000" w:themeColor="text1"/>
          <w:sz w:val="28"/>
          <w:szCs w:val="28"/>
        </w:rPr>
        <w:t>的运行效果，验证规划方案的优化程度和为决策提供技术方面的信息和依据。一个好的网</w:t>
      </w:r>
      <w:r>
        <w:rPr>
          <w:rFonts w:hint="eastAsia" w:ascii="宋体" w:hAnsi="宋体" w:cs="宋体"/>
          <w:color w:val="000000" w:themeColor="text1"/>
          <w:sz w:val="28"/>
          <w:szCs w:val="28"/>
        </w:rPr>
        <w:t>点</w:t>
      </w:r>
      <w:r>
        <w:rPr>
          <w:rFonts w:ascii="宋体" w:hAnsi="宋体" w:cs="宋体"/>
          <w:color w:val="000000" w:themeColor="text1"/>
          <w:sz w:val="28"/>
          <w:szCs w:val="28"/>
        </w:rPr>
        <w:t>规划方案应该具有良好的覆盖性和合理的</w:t>
      </w:r>
      <w:r>
        <w:rPr>
          <w:rFonts w:hint="eastAsia" w:ascii="宋体" w:hAnsi="宋体" w:cs="宋体"/>
          <w:color w:val="000000" w:themeColor="text1"/>
          <w:sz w:val="28"/>
          <w:szCs w:val="28"/>
        </w:rPr>
        <w:t>布局</w:t>
      </w:r>
      <w:r>
        <w:rPr>
          <w:rFonts w:ascii="宋体" w:hAnsi="宋体" w:cs="宋体"/>
          <w:color w:val="000000" w:themeColor="text1"/>
          <w:sz w:val="28"/>
          <w:szCs w:val="28"/>
        </w:rPr>
        <w:t>结构，并承担较大的</w:t>
      </w:r>
      <w:r>
        <w:rPr>
          <w:rFonts w:hint="eastAsia" w:ascii="宋体" w:hAnsi="宋体" w:cs="宋体"/>
          <w:color w:val="000000" w:themeColor="text1"/>
          <w:sz w:val="28"/>
          <w:szCs w:val="28"/>
        </w:rPr>
        <w:t>物流</w:t>
      </w:r>
      <w:r>
        <w:rPr>
          <w:rFonts w:ascii="宋体" w:hAnsi="宋体" w:cs="宋体"/>
          <w:color w:val="000000" w:themeColor="text1"/>
          <w:sz w:val="28"/>
          <w:szCs w:val="28"/>
        </w:rPr>
        <w:t>量和具有较高服务质量的设施水平。第三类是从</w:t>
      </w:r>
      <w:r>
        <w:rPr>
          <w:rFonts w:hint="eastAsia" w:ascii="宋体" w:hAnsi="宋体" w:cs="宋体"/>
          <w:color w:val="000000" w:themeColor="text1"/>
          <w:sz w:val="28"/>
          <w:szCs w:val="28"/>
        </w:rPr>
        <w:t>网络网点</w:t>
      </w:r>
      <w:r>
        <w:rPr>
          <w:rFonts w:ascii="宋体" w:hAnsi="宋体" w:cs="宋体"/>
          <w:color w:val="000000" w:themeColor="text1"/>
          <w:sz w:val="28"/>
          <w:szCs w:val="28"/>
        </w:rPr>
        <w:t>对</w:t>
      </w:r>
      <w:r>
        <w:rPr>
          <w:rFonts w:hint="eastAsia" w:ascii="宋体" w:hAnsi="宋体" w:cs="宋体"/>
          <w:color w:val="000000" w:themeColor="text1"/>
          <w:sz w:val="28"/>
          <w:szCs w:val="28"/>
        </w:rPr>
        <w:t>收发货者便利性</w:t>
      </w:r>
      <w:r>
        <w:rPr>
          <w:rFonts w:ascii="宋体" w:hAnsi="宋体" w:cs="宋体"/>
          <w:color w:val="000000" w:themeColor="text1"/>
          <w:sz w:val="28"/>
          <w:szCs w:val="28"/>
        </w:rPr>
        <w:t>的影响效果出发，评价</w:t>
      </w:r>
      <w:r>
        <w:rPr>
          <w:rFonts w:hint="eastAsia" w:ascii="宋体" w:hAnsi="宋体" w:cs="宋体"/>
          <w:color w:val="000000" w:themeColor="text1"/>
          <w:sz w:val="28"/>
          <w:szCs w:val="28"/>
        </w:rPr>
        <w:t>农村物流网点</w:t>
      </w:r>
      <w:r>
        <w:rPr>
          <w:rFonts w:ascii="宋体" w:hAnsi="宋体" w:cs="宋体"/>
          <w:color w:val="000000" w:themeColor="text1"/>
          <w:sz w:val="28"/>
          <w:szCs w:val="28"/>
        </w:rPr>
        <w:t>对社会效益的贡献。</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（2）评价指标的含义</w:t>
      </w:r>
    </w:p>
    <w:p>
      <w:pPr>
        <w:pStyle w:val="27"/>
        <w:spacing w:before="0" w:after="0"/>
        <w:ind w:left="0" w:firstLine="560"/>
        <w:jc w:val="left"/>
        <w:rPr>
          <w:color w:val="000000" w:themeColor="text1"/>
          <w:sz w:val="28"/>
        </w:rPr>
      </w:pPr>
      <w:r>
        <w:rPr>
          <w:color w:val="000000" w:themeColor="text1"/>
          <w:sz w:val="28"/>
        </w:rPr>
        <w:t>1）</w:t>
      </w:r>
      <w:r>
        <w:rPr>
          <w:rFonts w:hint="eastAsia"/>
          <w:color w:val="000000" w:themeColor="text1"/>
          <w:sz w:val="28"/>
        </w:rPr>
        <w:t>网点数量</w:t>
      </w:r>
      <w:r>
        <w:rPr>
          <w:color w:val="000000" w:themeColor="text1"/>
          <w:sz w:val="28"/>
        </w:rPr>
        <w:t>（</w:t>
      </w:r>
      <w:r>
        <w:rPr>
          <w:i/>
          <w:color w:val="000000" w:themeColor="text1"/>
          <w:sz w:val="28"/>
        </w:rPr>
        <w:t>C</w:t>
      </w:r>
      <w:r>
        <w:rPr>
          <w:i/>
          <w:color w:val="000000" w:themeColor="text1"/>
          <w:sz w:val="28"/>
          <w:vertAlign w:val="subscript"/>
        </w:rPr>
        <w:t>1</w:t>
      </w:r>
      <w:r>
        <w:rPr>
          <w:color w:val="000000" w:themeColor="text1"/>
          <w:sz w:val="28"/>
        </w:rPr>
        <w:t>）</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网点数量</w:t>
      </w:r>
      <w:r>
        <w:rPr>
          <w:color w:val="000000" w:themeColor="text1"/>
          <w:kern w:val="0"/>
          <w:sz w:val="28"/>
        </w:rPr>
        <w:t>是宏观评价</w:t>
      </w:r>
      <w:r>
        <w:rPr>
          <w:rFonts w:hint="eastAsia"/>
          <w:color w:val="000000" w:themeColor="text1"/>
          <w:kern w:val="0"/>
          <w:sz w:val="28"/>
        </w:rPr>
        <w:t>农村物流服务</w:t>
      </w:r>
      <w:r>
        <w:rPr>
          <w:color w:val="000000" w:themeColor="text1"/>
          <w:kern w:val="0"/>
          <w:sz w:val="28"/>
        </w:rPr>
        <w:t>的投入性指标，</w:t>
      </w:r>
      <w:bookmarkStart w:id="70" w:name="_Hlk526588323"/>
      <w:r>
        <w:rPr>
          <w:rFonts w:hint="eastAsia"/>
          <w:color w:val="000000" w:themeColor="text1"/>
          <w:kern w:val="0"/>
          <w:sz w:val="28"/>
        </w:rPr>
        <w:t>网点</w:t>
      </w:r>
      <w:r>
        <w:rPr>
          <w:color w:val="000000" w:themeColor="text1"/>
          <w:kern w:val="0"/>
          <w:sz w:val="28"/>
        </w:rPr>
        <w:t>过</w:t>
      </w:r>
      <w:r>
        <w:rPr>
          <w:rFonts w:hint="eastAsia"/>
          <w:color w:val="000000" w:themeColor="text1"/>
          <w:kern w:val="0"/>
          <w:sz w:val="28"/>
        </w:rPr>
        <w:t>少</w:t>
      </w:r>
      <w:r>
        <w:rPr>
          <w:color w:val="000000" w:themeColor="text1"/>
          <w:kern w:val="0"/>
          <w:sz w:val="28"/>
        </w:rPr>
        <w:t>增加</w:t>
      </w:r>
      <w:r>
        <w:rPr>
          <w:rFonts w:hint="eastAsia"/>
          <w:color w:val="000000" w:themeColor="text1"/>
          <w:kern w:val="0"/>
          <w:sz w:val="28"/>
        </w:rPr>
        <w:t>配送</w:t>
      </w:r>
      <w:r>
        <w:rPr>
          <w:color w:val="000000" w:themeColor="text1"/>
          <w:kern w:val="0"/>
          <w:sz w:val="28"/>
        </w:rPr>
        <w:t>费用，</w:t>
      </w:r>
      <w:r>
        <w:rPr>
          <w:rFonts w:hint="eastAsia"/>
          <w:color w:val="000000" w:themeColor="text1"/>
          <w:kern w:val="0"/>
          <w:sz w:val="28"/>
        </w:rPr>
        <w:t>服务水平差</w:t>
      </w:r>
      <w:r>
        <w:rPr>
          <w:color w:val="000000" w:themeColor="text1"/>
          <w:kern w:val="0"/>
          <w:sz w:val="28"/>
        </w:rPr>
        <w:t>，过</w:t>
      </w:r>
      <w:r>
        <w:rPr>
          <w:rFonts w:hint="eastAsia"/>
          <w:color w:val="000000" w:themeColor="text1"/>
          <w:kern w:val="0"/>
          <w:sz w:val="28"/>
        </w:rPr>
        <w:t>多</w:t>
      </w:r>
      <w:r>
        <w:rPr>
          <w:color w:val="000000" w:themeColor="text1"/>
          <w:kern w:val="0"/>
          <w:sz w:val="28"/>
        </w:rPr>
        <w:t>会增加运营费用，应控制</w:t>
      </w:r>
      <w:r>
        <w:rPr>
          <w:rFonts w:hint="eastAsia"/>
          <w:color w:val="000000" w:themeColor="text1"/>
          <w:kern w:val="0"/>
          <w:sz w:val="28"/>
        </w:rPr>
        <w:t>网点</w:t>
      </w:r>
      <w:r>
        <w:rPr>
          <w:color w:val="000000" w:themeColor="text1"/>
          <w:kern w:val="0"/>
          <w:sz w:val="28"/>
        </w:rPr>
        <w:t>在一定范围内。</w:t>
      </w:r>
      <w:bookmarkEnd w:id="70"/>
    </w:p>
    <w:p>
      <w:pPr>
        <w:pStyle w:val="27"/>
        <w:spacing w:before="0" w:after="0"/>
        <w:ind w:left="0" w:firstLine="560"/>
        <w:jc w:val="left"/>
        <w:rPr>
          <w:color w:val="000000" w:themeColor="text1"/>
          <w:sz w:val="28"/>
        </w:rPr>
      </w:pPr>
      <w:r>
        <w:rPr>
          <w:color w:val="000000" w:themeColor="text1"/>
          <w:sz w:val="28"/>
        </w:rPr>
        <w:t>2）</w:t>
      </w:r>
      <w:r>
        <w:rPr>
          <w:rFonts w:hint="eastAsia"/>
          <w:color w:val="000000" w:themeColor="text1"/>
          <w:sz w:val="28"/>
        </w:rPr>
        <w:t>配送</w:t>
      </w:r>
      <w:r>
        <w:rPr>
          <w:color w:val="000000" w:themeColor="text1"/>
          <w:sz w:val="28"/>
        </w:rPr>
        <w:t>线路数</w:t>
      </w:r>
      <w:r>
        <w:rPr>
          <w:rFonts w:hint="eastAsia"/>
          <w:color w:val="000000" w:themeColor="text1"/>
          <w:sz w:val="28"/>
        </w:rPr>
        <w:t>量</w:t>
      </w:r>
      <w:r>
        <w:rPr>
          <w:color w:val="000000" w:themeColor="text1"/>
          <w:sz w:val="28"/>
        </w:rPr>
        <w:t>（</w:t>
      </w:r>
      <w:r>
        <w:rPr>
          <w:i/>
          <w:color w:val="000000" w:themeColor="text1"/>
          <w:sz w:val="28"/>
        </w:rPr>
        <w:t>C</w:t>
      </w:r>
      <w:r>
        <w:rPr>
          <w:i/>
          <w:color w:val="000000" w:themeColor="text1"/>
          <w:sz w:val="28"/>
          <w:vertAlign w:val="subscript"/>
        </w:rPr>
        <w:t>2</w:t>
      </w:r>
      <w:r>
        <w:rPr>
          <w:color w:val="000000" w:themeColor="text1"/>
          <w:sz w:val="28"/>
        </w:rPr>
        <w:t>）</w:t>
      </w:r>
    </w:p>
    <w:p>
      <w:pPr>
        <w:snapToGrid w:val="0"/>
        <w:spacing w:before="0" w:after="0" w:line="360" w:lineRule="auto"/>
        <w:ind w:left="0" w:firstLine="560" w:firstLineChars="200"/>
        <w:jc w:val="left"/>
        <w:rPr>
          <w:color w:val="000000" w:themeColor="text1"/>
          <w:sz w:val="28"/>
        </w:rPr>
      </w:pPr>
      <w:r>
        <w:rPr>
          <w:rFonts w:hint="eastAsia"/>
          <w:color w:val="000000" w:themeColor="text1"/>
          <w:kern w:val="0"/>
          <w:sz w:val="28"/>
        </w:rPr>
        <w:t>配送</w:t>
      </w:r>
      <w:r>
        <w:rPr>
          <w:color w:val="000000" w:themeColor="text1"/>
          <w:kern w:val="0"/>
          <w:sz w:val="28"/>
        </w:rPr>
        <w:t>线路数</w:t>
      </w:r>
      <w:r>
        <w:rPr>
          <w:rFonts w:hint="eastAsia"/>
          <w:color w:val="000000" w:themeColor="text1"/>
          <w:kern w:val="0"/>
          <w:sz w:val="28"/>
        </w:rPr>
        <w:t>量</w:t>
      </w:r>
      <w:r>
        <w:rPr>
          <w:color w:val="000000" w:themeColor="text1"/>
          <w:kern w:val="0"/>
          <w:sz w:val="28"/>
        </w:rPr>
        <w:t>主要反映</w:t>
      </w:r>
      <w:r>
        <w:rPr>
          <w:rFonts w:hint="eastAsia"/>
          <w:color w:val="000000" w:themeColor="text1"/>
          <w:kern w:val="0"/>
          <w:sz w:val="28"/>
        </w:rPr>
        <w:t>物流企业服务水平和效率的</w:t>
      </w:r>
      <w:r>
        <w:rPr>
          <w:color w:val="000000" w:themeColor="text1"/>
          <w:kern w:val="0"/>
          <w:sz w:val="28"/>
        </w:rPr>
        <w:t>投入性指标。</w:t>
      </w:r>
      <w:r>
        <w:rPr>
          <w:rFonts w:hint="eastAsia"/>
          <w:color w:val="000000" w:themeColor="text1"/>
          <w:kern w:val="0"/>
          <w:sz w:val="28"/>
        </w:rPr>
        <w:t>配送</w:t>
      </w:r>
      <w:r>
        <w:rPr>
          <w:color w:val="000000" w:themeColor="text1"/>
          <w:kern w:val="0"/>
          <w:sz w:val="28"/>
        </w:rPr>
        <w:t>线路数</w:t>
      </w:r>
      <w:r>
        <w:rPr>
          <w:rFonts w:hint="eastAsia"/>
          <w:color w:val="000000" w:themeColor="text1"/>
          <w:kern w:val="0"/>
          <w:sz w:val="28"/>
        </w:rPr>
        <w:t>量</w:t>
      </w:r>
      <w:r>
        <w:rPr>
          <w:color w:val="000000" w:themeColor="text1"/>
          <w:kern w:val="0"/>
          <w:sz w:val="28"/>
        </w:rPr>
        <w:t>过</w:t>
      </w:r>
      <w:r>
        <w:rPr>
          <w:rFonts w:hint="eastAsia"/>
          <w:color w:val="000000" w:themeColor="text1"/>
          <w:kern w:val="0"/>
          <w:sz w:val="28"/>
        </w:rPr>
        <w:t>少</w:t>
      </w:r>
      <w:r>
        <w:rPr>
          <w:color w:val="000000" w:themeColor="text1"/>
          <w:kern w:val="0"/>
          <w:sz w:val="28"/>
        </w:rPr>
        <w:t>增加</w:t>
      </w:r>
      <w:r>
        <w:rPr>
          <w:rFonts w:hint="eastAsia"/>
          <w:color w:val="000000" w:themeColor="text1"/>
          <w:kern w:val="0"/>
          <w:sz w:val="28"/>
        </w:rPr>
        <w:t>配送时间</w:t>
      </w:r>
      <w:r>
        <w:rPr>
          <w:color w:val="000000" w:themeColor="text1"/>
          <w:kern w:val="0"/>
          <w:sz w:val="28"/>
        </w:rPr>
        <w:t>，</w:t>
      </w:r>
      <w:r>
        <w:rPr>
          <w:rFonts w:hint="eastAsia"/>
          <w:color w:val="000000" w:themeColor="text1"/>
          <w:kern w:val="0"/>
          <w:sz w:val="28"/>
        </w:rPr>
        <w:t>服务面少，服务水平差</w:t>
      </w:r>
      <w:r>
        <w:rPr>
          <w:color w:val="000000" w:themeColor="text1"/>
          <w:kern w:val="0"/>
          <w:sz w:val="28"/>
        </w:rPr>
        <w:t>，过</w:t>
      </w:r>
      <w:r>
        <w:rPr>
          <w:rFonts w:hint="eastAsia"/>
          <w:color w:val="000000" w:themeColor="text1"/>
          <w:kern w:val="0"/>
          <w:sz w:val="28"/>
        </w:rPr>
        <w:t>多</w:t>
      </w:r>
      <w:r>
        <w:rPr>
          <w:color w:val="000000" w:themeColor="text1"/>
          <w:kern w:val="0"/>
          <w:sz w:val="28"/>
        </w:rPr>
        <w:t>会增加</w:t>
      </w:r>
      <w:r>
        <w:rPr>
          <w:rFonts w:hint="eastAsia"/>
          <w:color w:val="000000" w:themeColor="text1"/>
          <w:kern w:val="0"/>
          <w:sz w:val="28"/>
        </w:rPr>
        <w:t>配送</w:t>
      </w:r>
      <w:r>
        <w:rPr>
          <w:color w:val="000000" w:themeColor="text1"/>
          <w:kern w:val="0"/>
          <w:sz w:val="28"/>
        </w:rPr>
        <w:t>费用，应控制</w:t>
      </w:r>
      <w:r>
        <w:rPr>
          <w:rFonts w:hint="eastAsia"/>
          <w:color w:val="000000" w:themeColor="text1"/>
          <w:kern w:val="0"/>
          <w:sz w:val="28"/>
        </w:rPr>
        <w:t>配送</w:t>
      </w:r>
      <w:r>
        <w:rPr>
          <w:color w:val="000000" w:themeColor="text1"/>
          <w:kern w:val="0"/>
          <w:sz w:val="28"/>
        </w:rPr>
        <w:t>线路数</w:t>
      </w:r>
      <w:r>
        <w:rPr>
          <w:rFonts w:hint="eastAsia"/>
          <w:color w:val="000000" w:themeColor="text1"/>
          <w:kern w:val="0"/>
          <w:sz w:val="28"/>
        </w:rPr>
        <w:t>量</w:t>
      </w:r>
      <w:r>
        <w:rPr>
          <w:color w:val="000000" w:themeColor="text1"/>
          <w:kern w:val="0"/>
          <w:sz w:val="28"/>
        </w:rPr>
        <w:t>在一定范围内。</w:t>
      </w:r>
    </w:p>
    <w:p>
      <w:pPr>
        <w:pStyle w:val="27"/>
        <w:spacing w:before="0" w:after="0"/>
        <w:ind w:left="0" w:firstLine="560"/>
        <w:jc w:val="left"/>
        <w:rPr>
          <w:color w:val="000000" w:themeColor="text1"/>
          <w:sz w:val="28"/>
        </w:rPr>
      </w:pPr>
      <w:r>
        <w:rPr>
          <w:color w:val="000000" w:themeColor="text1"/>
          <w:sz w:val="28"/>
        </w:rPr>
        <w:t>3）</w:t>
      </w:r>
      <w:r>
        <w:rPr>
          <w:rFonts w:hint="eastAsia"/>
          <w:color w:val="000000" w:themeColor="text1"/>
          <w:sz w:val="28"/>
        </w:rPr>
        <w:t>网点</w:t>
      </w:r>
      <w:r>
        <w:rPr>
          <w:color w:val="000000" w:themeColor="text1"/>
          <w:sz w:val="28"/>
        </w:rPr>
        <w:t>密度(</w:t>
      </w:r>
      <w:r>
        <w:rPr>
          <w:i/>
          <w:color w:val="000000" w:themeColor="text1"/>
          <w:sz w:val="28"/>
        </w:rPr>
        <w:t>C</w:t>
      </w:r>
      <w:r>
        <w:rPr>
          <w:i/>
          <w:color w:val="000000" w:themeColor="text1"/>
          <w:sz w:val="28"/>
          <w:vertAlign w:val="subscript"/>
        </w:rPr>
        <w:t>3</w:t>
      </w:r>
      <w:r>
        <w:rPr>
          <w:color w:val="000000" w:themeColor="text1"/>
          <w:sz w:val="28"/>
        </w:rPr>
        <w:t>)</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网点</w:t>
      </w:r>
      <w:r>
        <w:rPr>
          <w:color w:val="000000" w:themeColor="text1"/>
          <w:kern w:val="0"/>
          <w:sz w:val="28"/>
        </w:rPr>
        <w:t>密度是反映</w:t>
      </w:r>
      <w:r>
        <w:rPr>
          <w:rFonts w:hint="eastAsia"/>
          <w:color w:val="000000" w:themeColor="text1"/>
          <w:kern w:val="0"/>
          <w:sz w:val="28"/>
        </w:rPr>
        <w:t>农村物流</w:t>
      </w:r>
      <w:r>
        <w:rPr>
          <w:color w:val="000000" w:themeColor="text1"/>
          <w:kern w:val="0"/>
          <w:sz w:val="28"/>
        </w:rPr>
        <w:t>居民接近</w:t>
      </w:r>
      <w:r>
        <w:rPr>
          <w:rFonts w:hint="eastAsia"/>
          <w:color w:val="000000" w:themeColor="text1"/>
          <w:kern w:val="0"/>
          <w:sz w:val="28"/>
        </w:rPr>
        <w:t>物流网点</w:t>
      </w:r>
      <w:r>
        <w:rPr>
          <w:color w:val="000000" w:themeColor="text1"/>
          <w:kern w:val="0"/>
          <w:sz w:val="28"/>
        </w:rPr>
        <w:t>的程度。该指标计算公式如式（</w:t>
      </w:r>
      <w:r>
        <w:rPr>
          <w:rFonts w:hint="eastAsia"/>
          <w:color w:val="000000" w:themeColor="text1"/>
          <w:kern w:val="0"/>
          <w:sz w:val="28"/>
        </w:rPr>
        <w:t>5-1</w:t>
      </w:r>
      <w:r>
        <w:rPr>
          <w:color w:val="000000" w:themeColor="text1"/>
          <w:kern w:val="0"/>
          <w:sz w:val="28"/>
        </w:rPr>
        <w:t>）所示。</w:t>
      </w:r>
    </w:p>
    <w:p>
      <w:pPr>
        <w:pStyle w:val="27"/>
        <w:spacing w:before="0" w:after="0"/>
        <w:ind w:left="0" w:firstLine="560"/>
        <w:jc w:val="left"/>
        <w:textAlignment w:val="center"/>
        <w:rPr>
          <w:color w:val="000000" w:themeColor="text1"/>
          <w:sz w:val="28"/>
        </w:rPr>
      </w:pPr>
      <w:r>
        <w:rPr>
          <w:color w:val="000000" w:themeColor="text1"/>
          <w:sz w:val="28"/>
        </w:rPr>
        <w:object>
          <v:shape id="_x0000_i1143" o:spt="75" type="#_x0000_t75" style="height:38.35pt;width:98.2pt;" o:ole="t" filled="f" o:preferrelative="t" stroked="f" coordsize="21600,21600">
            <v:path/>
            <v:fill on="f" focussize="0,0"/>
            <v:stroke on="f" joinstyle="miter"/>
            <v:imagedata r:id="rId268" o:title=""/>
            <o:lock v:ext="edit" aspectratio="t"/>
            <w10:wrap type="none"/>
            <w10:anchorlock/>
          </v:shape>
          <o:OLEObject Type="Embed" ProgID="Equation.3" ShapeID="_x0000_i1143" DrawAspect="Content" ObjectID="_1468075843" r:id="rId267">
            <o:LockedField>false</o:LockedField>
          </o:OLEObject>
        </w:object>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w:t>
      </w:r>
      <w:r>
        <w:rPr>
          <w:rFonts w:hint="eastAsia"/>
          <w:color w:val="000000" w:themeColor="text1"/>
          <w:sz w:val="28"/>
        </w:rPr>
        <w:t>2</w:t>
      </w:r>
      <w:r>
        <w:rPr>
          <w:color w:val="000000" w:themeColor="text1"/>
          <w:sz w:val="28"/>
        </w:rPr>
        <w:noBreakHyphen/>
      </w:r>
      <w:r>
        <w:rPr>
          <w:rFonts w:hint="eastAsia"/>
          <w:color w:val="000000" w:themeColor="text1"/>
          <w:sz w:val="28"/>
        </w:rPr>
        <w:t>1</w:t>
      </w:r>
      <w:r>
        <w:rPr>
          <w:color w:val="000000" w:themeColor="text1"/>
          <w:sz w:val="28"/>
        </w:rPr>
        <w:t>）</w:t>
      </w:r>
    </w:p>
    <w:p>
      <w:pPr>
        <w:pStyle w:val="27"/>
        <w:spacing w:before="0" w:after="0"/>
        <w:ind w:left="0" w:firstLine="560"/>
        <w:jc w:val="left"/>
        <w:rPr>
          <w:color w:val="000000" w:themeColor="text1"/>
          <w:sz w:val="28"/>
        </w:rPr>
      </w:pPr>
      <w:r>
        <w:rPr>
          <w:color w:val="000000" w:themeColor="text1"/>
          <w:sz w:val="28"/>
        </w:rPr>
        <w:t>式中：</w:t>
      </w:r>
      <w:r>
        <w:rPr>
          <w:i/>
          <w:color w:val="000000" w:themeColor="text1"/>
          <w:sz w:val="28"/>
        </w:rPr>
        <w:t>C</w:t>
      </w:r>
      <w:r>
        <w:rPr>
          <w:i/>
          <w:color w:val="000000" w:themeColor="text1"/>
          <w:sz w:val="28"/>
          <w:vertAlign w:val="subscript"/>
        </w:rPr>
        <w:t>3</w:t>
      </w:r>
      <w:r>
        <w:rPr>
          <w:color w:val="000000" w:themeColor="text1"/>
          <w:sz w:val="28"/>
        </w:rPr>
        <w:t>——</w:t>
      </w:r>
      <w:r>
        <w:rPr>
          <w:rFonts w:hint="eastAsia"/>
          <w:color w:val="000000" w:themeColor="text1"/>
          <w:sz w:val="28"/>
        </w:rPr>
        <w:t>网点</w:t>
      </w:r>
      <w:r>
        <w:rPr>
          <w:color w:val="000000" w:themeColor="text1"/>
          <w:sz w:val="28"/>
        </w:rPr>
        <w:t>密度评价指标得分，（0~1）；</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44" o:spt="75" type="#_x0000_t75" style="height:15.9pt;width:17.75pt;" o:ole="t" filled="f" o:preferrelative="t" stroked="f" coordsize="21600,21600">
            <v:path/>
            <v:fill on="f" focussize="0,0"/>
            <v:stroke on="f" joinstyle="miter"/>
            <v:imagedata r:id="rId270" o:title=""/>
            <o:lock v:ext="edit" aspectratio="t"/>
            <w10:wrap type="none"/>
            <w10:anchorlock/>
          </v:shape>
          <o:OLEObject Type="Embed" ProgID="Equation.3" ShapeID="_x0000_i1144" DrawAspect="Content" ObjectID="_1468075844" r:id="rId269">
            <o:LockedField>false</o:LockedField>
          </o:OLEObject>
        </w:object>
      </w:r>
      <w:r>
        <w:rPr>
          <w:color w:val="000000" w:themeColor="text1"/>
          <w:sz w:val="28"/>
        </w:rPr>
        <w:t>——</w:t>
      </w:r>
      <w:r>
        <w:rPr>
          <w:rFonts w:hint="eastAsia"/>
          <w:color w:val="000000" w:themeColor="text1"/>
          <w:sz w:val="28"/>
        </w:rPr>
        <w:t>物流网点</w:t>
      </w:r>
      <w:r>
        <w:rPr>
          <w:color w:val="000000" w:themeColor="text1"/>
          <w:sz w:val="28"/>
        </w:rPr>
        <w:t>密度；</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45" o:spt="75" type="#_x0000_t75" style="height:24.3pt;width:32.75pt;" o:ole="t" filled="f" o:preferrelative="t" stroked="f" coordsize="21600,21600">
            <v:path/>
            <v:fill on="f" focussize="0,0"/>
            <v:stroke on="f" joinstyle="miter"/>
            <v:imagedata r:id="rId272" o:title=""/>
            <o:lock v:ext="edit" aspectratio="t"/>
            <w10:wrap type="none"/>
            <w10:anchorlock/>
          </v:shape>
          <o:OLEObject Type="Embed" ProgID="Equation.3" ShapeID="_x0000_i1145" DrawAspect="Content" ObjectID="_1468075845" r:id="rId271">
            <o:LockedField>false</o:LockedField>
          </o:OLEObject>
        </w:object>
      </w:r>
      <w:r>
        <w:rPr>
          <w:color w:val="000000" w:themeColor="text1"/>
          <w:sz w:val="28"/>
        </w:rPr>
        <w:t>——</w:t>
      </w:r>
      <w:r>
        <w:rPr>
          <w:rFonts w:hint="eastAsia"/>
          <w:color w:val="000000" w:themeColor="text1"/>
          <w:sz w:val="28"/>
        </w:rPr>
        <w:t>物流网点</w:t>
      </w:r>
      <w:r>
        <w:rPr>
          <w:color w:val="000000" w:themeColor="text1"/>
          <w:sz w:val="28"/>
        </w:rPr>
        <w:t>密度的上限；</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46" o:spt="75" type="#_x0000_t75" style="height:20.55pt;width:29pt;" o:ole="t" filled="f" o:preferrelative="t" stroked="f" coordsize="21600,21600">
            <v:path/>
            <v:fill on="f" focussize="0,0"/>
            <v:stroke on="f" joinstyle="miter"/>
            <v:imagedata r:id="rId274" o:title=""/>
            <o:lock v:ext="edit" aspectratio="t"/>
            <w10:wrap type="none"/>
            <w10:anchorlock/>
          </v:shape>
          <o:OLEObject Type="Embed" ProgID="Equation.3" ShapeID="_x0000_i1146" DrawAspect="Content" ObjectID="_1468075846" r:id="rId273">
            <o:LockedField>false</o:LockedField>
          </o:OLEObject>
        </w:object>
      </w:r>
      <w:r>
        <w:rPr>
          <w:color w:val="000000" w:themeColor="text1"/>
          <w:sz w:val="28"/>
        </w:rPr>
        <w:t>——</w:t>
      </w:r>
      <w:r>
        <w:rPr>
          <w:rFonts w:hint="eastAsia"/>
          <w:color w:val="000000" w:themeColor="text1"/>
          <w:sz w:val="28"/>
        </w:rPr>
        <w:t>物流网点</w:t>
      </w:r>
      <w:r>
        <w:rPr>
          <w:color w:val="000000" w:themeColor="text1"/>
          <w:sz w:val="28"/>
        </w:rPr>
        <w:t>密度的下限。</w:t>
      </w:r>
    </w:p>
    <w:p>
      <w:pPr>
        <w:pStyle w:val="27"/>
        <w:spacing w:before="0" w:after="0"/>
        <w:ind w:left="0" w:firstLine="560"/>
        <w:jc w:val="left"/>
        <w:rPr>
          <w:color w:val="000000" w:themeColor="text1"/>
          <w:sz w:val="28"/>
        </w:rPr>
      </w:pPr>
      <w:r>
        <w:rPr>
          <w:color w:val="000000" w:themeColor="text1"/>
          <w:sz w:val="28"/>
        </w:rPr>
        <w:t>4）</w:t>
      </w:r>
      <w:r>
        <w:rPr>
          <w:rFonts w:hint="eastAsia"/>
          <w:color w:val="000000" w:themeColor="text1"/>
          <w:sz w:val="28"/>
        </w:rPr>
        <w:t>网点</w:t>
      </w:r>
      <w:r>
        <w:rPr>
          <w:color w:val="000000" w:themeColor="text1"/>
          <w:sz w:val="28"/>
        </w:rPr>
        <w:t>面积（</w:t>
      </w:r>
      <w:r>
        <w:rPr>
          <w:i/>
          <w:color w:val="000000" w:themeColor="text1"/>
          <w:sz w:val="28"/>
        </w:rPr>
        <w:t>C</w:t>
      </w:r>
      <w:r>
        <w:rPr>
          <w:i/>
          <w:color w:val="000000" w:themeColor="text1"/>
          <w:sz w:val="28"/>
          <w:vertAlign w:val="subscript"/>
        </w:rPr>
        <w:t>4</w:t>
      </w:r>
      <w:r>
        <w:rPr>
          <w:color w:val="000000" w:themeColor="text1"/>
          <w:sz w:val="28"/>
        </w:rPr>
        <w:t>）</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农村物流网点</w:t>
      </w:r>
      <w:r>
        <w:rPr>
          <w:color w:val="000000" w:themeColor="text1"/>
          <w:kern w:val="0"/>
          <w:sz w:val="28"/>
        </w:rPr>
        <w:t>的主要功能是为</w:t>
      </w:r>
      <w:r>
        <w:rPr>
          <w:rFonts w:hint="eastAsia"/>
          <w:color w:val="000000" w:themeColor="text1"/>
          <w:kern w:val="0"/>
          <w:sz w:val="28"/>
        </w:rPr>
        <w:t>农村居民快递包裹收寄、信息收集和发布、农资、农产品、电商产品等代销代购和便民服务</w:t>
      </w:r>
      <w:r>
        <w:rPr>
          <w:color w:val="000000" w:themeColor="text1"/>
          <w:kern w:val="0"/>
          <w:sz w:val="28"/>
        </w:rPr>
        <w:t>。该指标计算公式如式（</w:t>
      </w:r>
      <w:r>
        <w:rPr>
          <w:rFonts w:hint="eastAsia"/>
          <w:color w:val="000000" w:themeColor="text1"/>
          <w:kern w:val="0"/>
          <w:sz w:val="28"/>
        </w:rPr>
        <w:t>5-2</w:t>
      </w:r>
      <w:r>
        <w:rPr>
          <w:color w:val="000000" w:themeColor="text1"/>
          <w:kern w:val="0"/>
          <w:sz w:val="28"/>
        </w:rPr>
        <w:t>）所示。</w:t>
      </w:r>
    </w:p>
    <w:p>
      <w:pPr>
        <w:pStyle w:val="27"/>
        <w:spacing w:before="0" w:after="0"/>
        <w:ind w:left="0" w:firstLine="560"/>
        <w:jc w:val="left"/>
        <w:textAlignment w:val="center"/>
        <w:rPr>
          <w:color w:val="000000" w:themeColor="text1"/>
          <w:sz w:val="28"/>
        </w:rPr>
      </w:pPr>
      <w:bookmarkStart w:id="71" w:name="_Ref333738665"/>
      <w:r>
        <w:rPr>
          <w:color w:val="000000" w:themeColor="text1"/>
          <w:sz w:val="28"/>
        </w:rPr>
        <w:object>
          <v:shape id="_x0000_i1147" o:spt="75" type="#_x0000_t75" style="height:40.2pt;width:92.55pt;" o:ole="t" filled="f" o:preferrelative="t" stroked="f" coordsize="21600,21600">
            <v:path/>
            <v:fill on="f" focussize="0,0"/>
            <v:stroke on="f" joinstyle="miter"/>
            <v:imagedata r:id="rId276" o:title=""/>
            <o:lock v:ext="edit" aspectratio="t"/>
            <w10:wrap type="none"/>
            <w10:anchorlock/>
          </v:shape>
          <o:OLEObject Type="Embed" ProgID="Equation.3" ShapeID="_x0000_i1147" DrawAspect="Content" ObjectID="_1468075847" r:id="rId275">
            <o:LockedField>false</o:LockedField>
          </o:OLEObject>
        </w:object>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w:t>
      </w:r>
      <w:r>
        <w:rPr>
          <w:rFonts w:hint="eastAsia"/>
          <w:color w:val="000000" w:themeColor="text1"/>
          <w:sz w:val="28"/>
        </w:rPr>
        <w:t>2</w:t>
      </w:r>
      <w:r>
        <w:rPr>
          <w:color w:val="000000" w:themeColor="text1"/>
          <w:sz w:val="28"/>
        </w:rPr>
        <w:noBreakHyphen/>
      </w:r>
      <w:bookmarkEnd w:id="71"/>
      <w:r>
        <w:rPr>
          <w:rFonts w:hint="eastAsia"/>
          <w:color w:val="000000" w:themeColor="text1"/>
          <w:sz w:val="28"/>
        </w:rPr>
        <w:t>2</w:t>
      </w:r>
      <w:r>
        <w:rPr>
          <w:color w:val="000000" w:themeColor="text1"/>
          <w:sz w:val="28"/>
        </w:rPr>
        <w:t>）</w:t>
      </w:r>
    </w:p>
    <w:p>
      <w:pPr>
        <w:pStyle w:val="27"/>
        <w:spacing w:before="0" w:after="0"/>
        <w:ind w:left="0" w:firstLine="560"/>
        <w:jc w:val="left"/>
        <w:rPr>
          <w:color w:val="000000" w:themeColor="text1"/>
          <w:sz w:val="28"/>
        </w:rPr>
      </w:pPr>
      <w:r>
        <w:rPr>
          <w:color w:val="000000" w:themeColor="text1"/>
          <w:sz w:val="28"/>
        </w:rPr>
        <w:t>式中：</w:t>
      </w:r>
      <w:r>
        <w:rPr>
          <w:i/>
          <w:color w:val="000000" w:themeColor="text1"/>
          <w:sz w:val="28"/>
        </w:rPr>
        <w:t>C</w:t>
      </w:r>
      <w:r>
        <w:rPr>
          <w:i/>
          <w:color w:val="000000" w:themeColor="text1"/>
          <w:sz w:val="28"/>
          <w:vertAlign w:val="subscript"/>
        </w:rPr>
        <w:t>4</w:t>
      </w:r>
      <w:r>
        <w:rPr>
          <w:color w:val="000000" w:themeColor="text1"/>
          <w:sz w:val="28"/>
        </w:rPr>
        <w:t>——</w:t>
      </w:r>
      <w:r>
        <w:rPr>
          <w:rFonts w:hint="eastAsia"/>
          <w:color w:val="000000" w:themeColor="text1"/>
          <w:sz w:val="28"/>
        </w:rPr>
        <w:t>网点</w:t>
      </w:r>
      <w:r>
        <w:rPr>
          <w:color w:val="000000" w:themeColor="text1"/>
          <w:sz w:val="28"/>
        </w:rPr>
        <w:t>面积评价指标得分，（0~1）；</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48" o:spt="75" type="#_x0000_t75" style="height:20.55pt;width:17.75pt;" o:ole="t" filled="f" o:preferrelative="t" stroked="f" coordsize="21600,21600">
            <v:path/>
            <v:fill on="f" focussize="0,0"/>
            <v:stroke on="f" joinstyle="miter"/>
            <v:imagedata r:id="rId278" o:title=""/>
            <o:lock v:ext="edit" aspectratio="t"/>
            <w10:wrap type="none"/>
            <w10:anchorlock/>
          </v:shape>
          <o:OLEObject Type="Embed" ProgID="Equation.3" ShapeID="_x0000_i1148" DrawAspect="Content" ObjectID="_1468075848" r:id="rId277">
            <o:LockedField>false</o:LockedField>
          </o:OLEObject>
        </w:object>
      </w:r>
      <w:r>
        <w:rPr>
          <w:color w:val="000000" w:themeColor="text1"/>
          <w:sz w:val="28"/>
        </w:rPr>
        <w:t>——</w:t>
      </w:r>
      <w:r>
        <w:rPr>
          <w:rFonts w:hint="eastAsia"/>
          <w:color w:val="000000" w:themeColor="text1"/>
          <w:sz w:val="28"/>
        </w:rPr>
        <w:t>网点</w:t>
      </w:r>
      <w:r>
        <w:rPr>
          <w:color w:val="000000" w:themeColor="text1"/>
          <w:sz w:val="28"/>
        </w:rPr>
        <w:t>面积；</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49" o:spt="75" type="#_x0000_t75" style="height:24.3pt;width:29pt;" o:ole="t" filled="f" o:preferrelative="t" stroked="f" coordsize="21600,21600">
            <v:path/>
            <v:fill on="f" focussize="0,0"/>
            <v:stroke on="f" joinstyle="miter"/>
            <v:imagedata r:id="rId280" o:title=""/>
            <o:lock v:ext="edit" aspectratio="t"/>
            <w10:wrap type="none"/>
            <w10:anchorlock/>
          </v:shape>
          <o:OLEObject Type="Embed" ProgID="Equation.3" ShapeID="_x0000_i1149" DrawAspect="Content" ObjectID="_1468075849" r:id="rId279">
            <o:LockedField>false</o:LockedField>
          </o:OLEObject>
        </w:object>
      </w:r>
      <w:r>
        <w:rPr>
          <w:color w:val="000000" w:themeColor="text1"/>
          <w:sz w:val="28"/>
        </w:rPr>
        <w:t>——</w:t>
      </w:r>
      <w:r>
        <w:rPr>
          <w:rFonts w:hint="eastAsia"/>
          <w:color w:val="000000" w:themeColor="text1"/>
          <w:sz w:val="28"/>
        </w:rPr>
        <w:t>网点</w:t>
      </w:r>
      <w:r>
        <w:rPr>
          <w:color w:val="000000" w:themeColor="text1"/>
          <w:sz w:val="28"/>
        </w:rPr>
        <w:t>面积的上限；</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50" o:spt="75" type="#_x0000_t75" style="height:24.3pt;width:29pt;" o:ole="t" filled="f" o:preferrelative="t" stroked="f" coordsize="21600,21600">
            <v:path/>
            <v:fill on="f" focussize="0,0"/>
            <v:stroke on="f" joinstyle="miter"/>
            <v:imagedata r:id="rId282" o:title=""/>
            <o:lock v:ext="edit" aspectratio="t"/>
            <w10:wrap type="none"/>
            <w10:anchorlock/>
          </v:shape>
          <o:OLEObject Type="Embed" ProgID="Equation.3" ShapeID="_x0000_i1150" DrawAspect="Content" ObjectID="_1468075850" r:id="rId281">
            <o:LockedField>false</o:LockedField>
          </o:OLEObject>
        </w:object>
      </w:r>
      <w:r>
        <w:rPr>
          <w:color w:val="000000" w:themeColor="text1"/>
          <w:sz w:val="28"/>
        </w:rPr>
        <w:t>——</w:t>
      </w:r>
      <w:r>
        <w:rPr>
          <w:rFonts w:hint="eastAsia"/>
          <w:color w:val="000000" w:themeColor="text1"/>
          <w:sz w:val="28"/>
        </w:rPr>
        <w:t>网点面积</w:t>
      </w:r>
      <w:r>
        <w:rPr>
          <w:color w:val="000000" w:themeColor="text1"/>
          <w:sz w:val="28"/>
        </w:rPr>
        <w:t>的下限。</w:t>
      </w:r>
    </w:p>
    <w:p>
      <w:pPr>
        <w:pStyle w:val="27"/>
        <w:spacing w:before="0" w:after="0"/>
        <w:ind w:left="0" w:firstLine="560"/>
        <w:jc w:val="left"/>
        <w:rPr>
          <w:color w:val="000000" w:themeColor="text1"/>
          <w:sz w:val="28"/>
        </w:rPr>
      </w:pPr>
      <w:bookmarkStart w:id="72" w:name="_Hlk526589236"/>
      <w:r>
        <w:rPr>
          <w:rFonts w:hint="eastAsia" w:ascii="黑体" w:hAnsi="黑体"/>
          <w:color w:val="000000" w:themeColor="text1"/>
          <w:sz w:val="28"/>
          <w:szCs w:val="28"/>
        </w:rPr>
        <w:t>村级农村物流服务点</w:t>
      </w:r>
      <w:bookmarkEnd w:id="72"/>
      <w:r>
        <w:rPr>
          <w:color w:val="000000" w:themeColor="text1"/>
          <w:sz w:val="28"/>
        </w:rPr>
        <w:t>规划用地面积</w:t>
      </w:r>
      <w:r>
        <w:rPr>
          <w:rFonts w:hint="eastAsia"/>
          <w:color w:val="000000" w:themeColor="text1"/>
          <w:sz w:val="28"/>
        </w:rPr>
        <w:t>一般</w:t>
      </w:r>
      <w:r>
        <w:rPr>
          <w:color w:val="000000" w:themeColor="text1"/>
          <w:sz w:val="28"/>
        </w:rPr>
        <w:t>按 “</w:t>
      </w:r>
      <w:r>
        <w:rPr>
          <w:rFonts w:hint="eastAsia"/>
          <w:color w:val="000000" w:themeColor="text1"/>
          <w:sz w:val="28"/>
        </w:rPr>
        <w:t>2</w:t>
      </w:r>
      <w:r>
        <w:rPr>
          <w:color w:val="000000" w:themeColor="text1"/>
          <w:sz w:val="28"/>
        </w:rPr>
        <w:t>0~</w:t>
      </w:r>
      <w:r>
        <w:rPr>
          <w:rFonts w:hint="eastAsia"/>
          <w:color w:val="000000" w:themeColor="text1"/>
          <w:sz w:val="28"/>
        </w:rPr>
        <w:t>3</w:t>
      </w:r>
      <w:r>
        <w:rPr>
          <w:color w:val="000000" w:themeColor="text1"/>
          <w:sz w:val="28"/>
        </w:rPr>
        <w:t>0”m</w:t>
      </w:r>
      <w:r>
        <w:rPr>
          <w:color w:val="000000" w:themeColor="text1"/>
          <w:sz w:val="28"/>
          <w:vertAlign w:val="superscript"/>
        </w:rPr>
        <w:t>2</w:t>
      </w:r>
      <w:r>
        <w:rPr>
          <w:color w:val="000000" w:themeColor="text1"/>
          <w:sz w:val="28"/>
        </w:rPr>
        <w:t>。</w:t>
      </w:r>
    </w:p>
    <w:p>
      <w:pPr>
        <w:pStyle w:val="27"/>
        <w:spacing w:before="0" w:after="0"/>
        <w:ind w:left="0" w:firstLine="560"/>
        <w:jc w:val="left"/>
        <w:rPr>
          <w:color w:val="000000" w:themeColor="text1"/>
          <w:sz w:val="28"/>
        </w:rPr>
      </w:pPr>
      <w:r>
        <w:rPr>
          <w:color w:val="000000" w:themeColor="text1"/>
          <w:sz w:val="28"/>
        </w:rPr>
        <w:t>5）</w:t>
      </w:r>
      <w:r>
        <w:rPr>
          <w:rFonts w:hint="eastAsia"/>
          <w:color w:val="000000" w:themeColor="text1"/>
          <w:sz w:val="28"/>
        </w:rPr>
        <w:t>网点</w:t>
      </w:r>
      <w:r>
        <w:rPr>
          <w:color w:val="000000" w:themeColor="text1"/>
          <w:sz w:val="28"/>
        </w:rPr>
        <w:t>覆盖率(</w:t>
      </w:r>
      <w:r>
        <w:rPr>
          <w:i/>
          <w:color w:val="000000" w:themeColor="text1"/>
          <w:sz w:val="28"/>
        </w:rPr>
        <w:t>C</w:t>
      </w:r>
      <w:r>
        <w:rPr>
          <w:i/>
          <w:color w:val="000000" w:themeColor="text1"/>
          <w:sz w:val="28"/>
          <w:vertAlign w:val="subscript"/>
        </w:rPr>
        <w:t>5</w:t>
      </w:r>
      <w:r>
        <w:rPr>
          <w:color w:val="000000" w:themeColor="text1"/>
          <w:sz w:val="28"/>
        </w:rPr>
        <w:t>)</w:t>
      </w:r>
    </w:p>
    <w:p>
      <w:pPr>
        <w:snapToGrid w:val="0"/>
        <w:spacing w:before="0" w:after="0" w:line="360" w:lineRule="auto"/>
        <w:ind w:left="0" w:firstLine="560" w:firstLineChars="200"/>
        <w:jc w:val="left"/>
        <w:rPr>
          <w:color w:val="000000" w:themeColor="text1"/>
          <w:kern w:val="0"/>
          <w:sz w:val="28"/>
        </w:rPr>
      </w:pPr>
      <w:r>
        <w:rPr>
          <w:rFonts w:hint="eastAsia"/>
          <w:color w:val="000000" w:themeColor="text1"/>
          <w:kern w:val="0"/>
          <w:sz w:val="28"/>
        </w:rPr>
        <w:t>网点</w:t>
      </w:r>
      <w:r>
        <w:rPr>
          <w:color w:val="000000" w:themeColor="text1"/>
          <w:kern w:val="0"/>
          <w:sz w:val="28"/>
        </w:rPr>
        <w:t>覆盖率用于反映</w:t>
      </w:r>
      <w:r>
        <w:rPr>
          <w:rFonts w:hint="eastAsia"/>
          <w:color w:val="000000" w:themeColor="text1"/>
          <w:kern w:val="0"/>
          <w:sz w:val="28"/>
        </w:rPr>
        <w:t>农村</w:t>
      </w:r>
      <w:r>
        <w:rPr>
          <w:color w:val="000000" w:themeColor="text1"/>
          <w:kern w:val="0"/>
          <w:sz w:val="28"/>
        </w:rPr>
        <w:t>居民接近</w:t>
      </w:r>
      <w:r>
        <w:rPr>
          <w:rFonts w:hint="eastAsia"/>
          <w:color w:val="000000" w:themeColor="text1"/>
          <w:kern w:val="0"/>
          <w:sz w:val="28"/>
        </w:rPr>
        <w:t>农村物流网点</w:t>
      </w:r>
      <w:r>
        <w:rPr>
          <w:color w:val="000000" w:themeColor="text1"/>
          <w:kern w:val="0"/>
          <w:sz w:val="28"/>
        </w:rPr>
        <w:t>的程度。该指标计算公式如式（</w:t>
      </w:r>
      <w:r>
        <w:rPr>
          <w:rFonts w:hint="eastAsia"/>
          <w:color w:val="000000" w:themeColor="text1"/>
          <w:kern w:val="0"/>
          <w:sz w:val="28"/>
        </w:rPr>
        <w:t>5-3</w:t>
      </w:r>
      <w:r>
        <w:rPr>
          <w:color w:val="000000" w:themeColor="text1"/>
          <w:kern w:val="0"/>
          <w:sz w:val="28"/>
        </w:rPr>
        <w:t>）所示。</w:t>
      </w:r>
    </w:p>
    <w:p>
      <w:pPr>
        <w:pStyle w:val="27"/>
        <w:spacing w:before="0" w:after="0"/>
        <w:ind w:left="0" w:firstLine="560"/>
        <w:jc w:val="left"/>
        <w:textAlignment w:val="center"/>
        <w:rPr>
          <w:color w:val="000000" w:themeColor="text1"/>
          <w:sz w:val="28"/>
        </w:rPr>
      </w:pPr>
      <w:bookmarkStart w:id="73" w:name="_Ref333738737"/>
      <w:r>
        <w:rPr>
          <w:color w:val="000000" w:themeColor="text1"/>
          <w:sz w:val="28"/>
        </w:rPr>
        <w:object>
          <v:shape id="_x0000_i1151" o:spt="75" type="#_x0000_t75" style="height:40.2pt;width:96.3pt;" o:ole="t" filled="f" o:preferrelative="t" stroked="f" coordsize="21600,21600">
            <v:path/>
            <v:fill on="f" focussize="0,0"/>
            <v:stroke on="f" joinstyle="miter"/>
            <v:imagedata r:id="rId284" o:title=""/>
            <o:lock v:ext="edit" aspectratio="t"/>
            <w10:wrap type="none"/>
            <w10:anchorlock/>
          </v:shape>
          <o:OLEObject Type="Embed" ProgID="Equation.3" ShapeID="_x0000_i1151" DrawAspect="Content" ObjectID="_1468075851" r:id="rId283">
            <o:LockedField>false</o:LockedField>
          </o:OLEObject>
        </w:object>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w:t>
      </w:r>
      <w:r>
        <w:rPr>
          <w:rFonts w:hint="eastAsia"/>
          <w:color w:val="000000" w:themeColor="text1"/>
          <w:sz w:val="28"/>
        </w:rPr>
        <w:t>2</w:t>
      </w:r>
      <w:r>
        <w:rPr>
          <w:color w:val="000000" w:themeColor="text1"/>
          <w:sz w:val="28"/>
        </w:rPr>
        <w:noBreakHyphen/>
      </w:r>
      <w:r>
        <w:rPr>
          <w:rFonts w:hint="eastAsia"/>
          <w:color w:val="000000" w:themeColor="text1"/>
          <w:sz w:val="28"/>
        </w:rPr>
        <w:t>3</w:t>
      </w:r>
      <w:bookmarkEnd w:id="73"/>
      <w:r>
        <w:rPr>
          <w:color w:val="000000" w:themeColor="text1"/>
          <w:sz w:val="28"/>
        </w:rPr>
        <w:t>）</w:t>
      </w:r>
    </w:p>
    <w:p>
      <w:pPr>
        <w:pStyle w:val="27"/>
        <w:spacing w:before="0" w:after="0"/>
        <w:ind w:left="0" w:firstLine="560"/>
        <w:jc w:val="left"/>
        <w:rPr>
          <w:color w:val="000000" w:themeColor="text1"/>
          <w:sz w:val="28"/>
        </w:rPr>
      </w:pPr>
      <w:r>
        <w:rPr>
          <w:color w:val="000000" w:themeColor="text1"/>
          <w:sz w:val="28"/>
        </w:rPr>
        <w:t>式中：</w:t>
      </w:r>
      <w:r>
        <w:rPr>
          <w:i/>
          <w:color w:val="000000" w:themeColor="text1"/>
          <w:sz w:val="28"/>
        </w:rPr>
        <w:t>C</w:t>
      </w:r>
      <w:r>
        <w:rPr>
          <w:i/>
          <w:color w:val="000000" w:themeColor="text1"/>
          <w:sz w:val="28"/>
          <w:vertAlign w:val="subscript"/>
        </w:rPr>
        <w:t>5</w:t>
      </w:r>
      <w:r>
        <w:rPr>
          <w:color w:val="000000" w:themeColor="text1"/>
          <w:sz w:val="28"/>
        </w:rPr>
        <w:t>——</w:t>
      </w:r>
      <w:r>
        <w:rPr>
          <w:rFonts w:hint="eastAsia"/>
          <w:color w:val="000000" w:themeColor="text1"/>
          <w:sz w:val="28"/>
        </w:rPr>
        <w:t>网点</w:t>
      </w:r>
      <w:r>
        <w:rPr>
          <w:color w:val="000000" w:themeColor="text1"/>
          <w:sz w:val="28"/>
        </w:rPr>
        <w:t>覆盖率评价指标得分，（0~1）；</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52" o:spt="75" type="#_x0000_t75" style="height:17.75pt;width:21.5pt;" o:ole="t" filled="f" o:preferrelative="t" stroked="f" coordsize="21600,21600">
            <v:path/>
            <v:fill on="f" focussize="0,0"/>
            <v:stroke on="f" joinstyle="miter"/>
            <v:imagedata r:id="rId286" o:title=""/>
            <o:lock v:ext="edit" aspectratio="t"/>
            <w10:wrap type="none"/>
            <w10:anchorlock/>
          </v:shape>
          <o:OLEObject Type="Embed" ProgID="Equation.3" ShapeID="_x0000_i1152" DrawAspect="Content" ObjectID="_1468075852" r:id="rId285">
            <o:LockedField>false</o:LockedField>
          </o:OLEObject>
        </w:object>
      </w:r>
      <w:r>
        <w:rPr>
          <w:color w:val="000000" w:themeColor="text1"/>
          <w:sz w:val="28"/>
        </w:rPr>
        <w:t>——</w:t>
      </w:r>
      <w:r>
        <w:rPr>
          <w:rFonts w:hint="eastAsia"/>
          <w:color w:val="000000" w:themeColor="text1"/>
          <w:sz w:val="28"/>
        </w:rPr>
        <w:t>网点</w:t>
      </w:r>
      <w:r>
        <w:rPr>
          <w:color w:val="000000" w:themeColor="text1"/>
          <w:sz w:val="28"/>
        </w:rPr>
        <w:t>覆盖率；</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53" o:spt="75" type="#_x0000_t75" style="height:21.5pt;width:29pt;" o:ole="t" filled="f" o:preferrelative="t" stroked="f" coordsize="21600,21600">
            <v:path/>
            <v:fill on="f" focussize="0,0"/>
            <v:stroke on="f" joinstyle="miter"/>
            <v:imagedata r:id="rId288" o:title=""/>
            <o:lock v:ext="edit" aspectratio="t"/>
            <w10:wrap type="none"/>
            <w10:anchorlock/>
          </v:shape>
          <o:OLEObject Type="Embed" ProgID="Equation.3" ShapeID="_x0000_i1153" DrawAspect="Content" ObjectID="_1468075853" r:id="rId287">
            <o:LockedField>false</o:LockedField>
          </o:OLEObject>
        </w:object>
      </w:r>
      <w:r>
        <w:rPr>
          <w:color w:val="000000" w:themeColor="text1"/>
          <w:sz w:val="28"/>
        </w:rPr>
        <w:t>——</w:t>
      </w:r>
      <w:r>
        <w:rPr>
          <w:rFonts w:hint="eastAsia"/>
          <w:color w:val="000000" w:themeColor="text1"/>
          <w:sz w:val="28"/>
        </w:rPr>
        <w:t>网</w:t>
      </w:r>
      <w:r>
        <w:rPr>
          <w:color w:val="000000" w:themeColor="text1"/>
          <w:sz w:val="28"/>
        </w:rPr>
        <w:t>点覆盖率上限；</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54" o:spt="75" type="#_x0000_t75" style="height:23.4pt;width:29pt;" o:ole="t" filled="f" o:preferrelative="t" stroked="f" coordsize="21600,21600">
            <v:path/>
            <v:fill on="f" focussize="0,0"/>
            <v:stroke on="f" joinstyle="miter"/>
            <v:imagedata r:id="rId290" o:title=""/>
            <o:lock v:ext="edit" aspectratio="t"/>
            <w10:wrap type="none"/>
            <w10:anchorlock/>
          </v:shape>
          <o:OLEObject Type="Embed" ProgID="Equation.3" ShapeID="_x0000_i1154" DrawAspect="Content" ObjectID="_1468075854" r:id="rId289">
            <o:LockedField>false</o:LockedField>
          </o:OLEObject>
        </w:object>
      </w:r>
      <w:r>
        <w:rPr>
          <w:color w:val="000000" w:themeColor="text1"/>
          <w:sz w:val="28"/>
        </w:rPr>
        <w:t>——</w:t>
      </w:r>
      <w:r>
        <w:rPr>
          <w:rFonts w:hint="eastAsia"/>
          <w:color w:val="000000" w:themeColor="text1"/>
          <w:sz w:val="28"/>
        </w:rPr>
        <w:t>网</w:t>
      </w:r>
      <w:r>
        <w:rPr>
          <w:color w:val="000000" w:themeColor="text1"/>
          <w:sz w:val="28"/>
        </w:rPr>
        <w:t>点覆盖率下限。</w:t>
      </w:r>
    </w:p>
    <w:p>
      <w:pPr>
        <w:snapToGrid w:val="0"/>
        <w:spacing w:before="0" w:after="0" w:line="360" w:lineRule="auto"/>
        <w:ind w:left="0" w:firstLine="560" w:firstLineChars="200"/>
        <w:jc w:val="left"/>
        <w:rPr>
          <w:color w:val="000000" w:themeColor="text1"/>
          <w:sz w:val="28"/>
        </w:rPr>
      </w:pPr>
      <w:r>
        <w:rPr>
          <w:rFonts w:hint="eastAsia"/>
          <w:color w:val="000000" w:themeColor="text1"/>
          <w:kern w:val="0"/>
          <w:sz w:val="28"/>
        </w:rPr>
        <w:t>一般村级农村物流服务点</w:t>
      </w:r>
      <w:r>
        <w:rPr>
          <w:color w:val="000000" w:themeColor="text1"/>
          <w:kern w:val="0"/>
          <w:sz w:val="28"/>
        </w:rPr>
        <w:t>，以</w:t>
      </w:r>
      <w:r>
        <w:rPr>
          <w:rFonts w:hint="eastAsia"/>
          <w:color w:val="000000" w:themeColor="text1"/>
          <w:kern w:val="0"/>
          <w:sz w:val="28"/>
        </w:rPr>
        <w:t>5</w:t>
      </w:r>
      <w:r>
        <w:rPr>
          <w:color w:val="000000" w:themeColor="text1"/>
          <w:kern w:val="0"/>
          <w:sz w:val="28"/>
        </w:rPr>
        <w:t>00m为半径计算，</w:t>
      </w:r>
      <w:r>
        <w:rPr>
          <w:rFonts w:hint="eastAsia"/>
          <w:color w:val="000000" w:themeColor="text1"/>
          <w:kern w:val="0"/>
          <w:sz w:val="28"/>
        </w:rPr>
        <w:t>涵盖</w:t>
      </w:r>
      <w:r>
        <w:rPr>
          <w:color w:val="000000" w:themeColor="text1"/>
          <w:kern w:val="0"/>
          <w:sz w:val="28"/>
        </w:rPr>
        <w:t>50%</w:t>
      </w:r>
      <w:r>
        <w:rPr>
          <w:rFonts w:hint="eastAsia"/>
          <w:color w:val="000000" w:themeColor="text1"/>
          <w:kern w:val="0"/>
          <w:sz w:val="28"/>
        </w:rPr>
        <w:t>的农村居民</w:t>
      </w:r>
      <w:r>
        <w:rPr>
          <w:color w:val="000000" w:themeColor="text1"/>
          <w:kern w:val="0"/>
          <w:sz w:val="28"/>
        </w:rPr>
        <w:t>；以</w:t>
      </w:r>
      <w:r>
        <w:rPr>
          <w:rFonts w:hint="eastAsia"/>
          <w:color w:val="000000" w:themeColor="text1"/>
          <w:kern w:val="0"/>
          <w:sz w:val="28"/>
        </w:rPr>
        <w:t>10</w:t>
      </w:r>
      <w:r>
        <w:rPr>
          <w:color w:val="000000" w:themeColor="text1"/>
          <w:kern w:val="0"/>
          <w:sz w:val="28"/>
        </w:rPr>
        <w:t>00m为半径计算，</w:t>
      </w:r>
      <w:r>
        <w:rPr>
          <w:rFonts w:hint="eastAsia"/>
          <w:color w:val="000000" w:themeColor="text1"/>
          <w:kern w:val="0"/>
          <w:sz w:val="28"/>
        </w:rPr>
        <w:t>涵盖</w:t>
      </w:r>
      <w:r>
        <w:rPr>
          <w:color w:val="000000" w:themeColor="text1"/>
          <w:kern w:val="0"/>
          <w:sz w:val="28"/>
        </w:rPr>
        <w:t>90%</w:t>
      </w:r>
      <w:r>
        <w:rPr>
          <w:rFonts w:hint="eastAsia"/>
          <w:color w:val="000000" w:themeColor="text1"/>
          <w:kern w:val="0"/>
          <w:sz w:val="28"/>
        </w:rPr>
        <w:t>农村居民</w:t>
      </w:r>
      <w:r>
        <w:rPr>
          <w:color w:val="000000" w:themeColor="text1"/>
          <w:kern w:val="0"/>
          <w:sz w:val="28"/>
        </w:rPr>
        <w:t>。</w:t>
      </w:r>
    </w:p>
    <w:p>
      <w:pPr>
        <w:pStyle w:val="27"/>
        <w:spacing w:before="0" w:after="0"/>
        <w:ind w:left="0" w:firstLine="560"/>
        <w:jc w:val="left"/>
        <w:rPr>
          <w:color w:val="000000" w:themeColor="text1"/>
          <w:sz w:val="28"/>
        </w:rPr>
      </w:pPr>
      <w:r>
        <w:rPr>
          <w:color w:val="000000" w:themeColor="text1"/>
          <w:sz w:val="28"/>
        </w:rPr>
        <w:t>6）</w:t>
      </w:r>
      <w:r>
        <w:rPr>
          <w:rFonts w:hint="eastAsia"/>
          <w:color w:val="000000" w:themeColor="text1"/>
          <w:sz w:val="28"/>
        </w:rPr>
        <w:t>物流场站</w:t>
      </w:r>
      <w:r>
        <w:rPr>
          <w:color w:val="000000" w:themeColor="text1"/>
          <w:sz w:val="28"/>
        </w:rPr>
        <w:t>面积（</w:t>
      </w:r>
      <w:r>
        <w:rPr>
          <w:i/>
          <w:color w:val="000000" w:themeColor="text1"/>
          <w:sz w:val="28"/>
        </w:rPr>
        <w:t>C</w:t>
      </w:r>
      <w:r>
        <w:rPr>
          <w:i/>
          <w:color w:val="000000" w:themeColor="text1"/>
          <w:sz w:val="28"/>
          <w:vertAlign w:val="subscript"/>
        </w:rPr>
        <w:t>6</w:t>
      </w:r>
      <w:r>
        <w:rPr>
          <w:color w:val="000000" w:themeColor="text1"/>
          <w:sz w:val="28"/>
        </w:rPr>
        <w:t>）</w:t>
      </w:r>
    </w:p>
    <w:p>
      <w:pPr>
        <w:snapToGrid w:val="0"/>
        <w:spacing w:before="0" w:after="0" w:line="360" w:lineRule="auto"/>
        <w:ind w:left="0" w:firstLine="560" w:firstLineChars="200"/>
        <w:jc w:val="left"/>
        <w:rPr>
          <w:color w:val="000000" w:themeColor="text1"/>
          <w:sz w:val="28"/>
        </w:rPr>
      </w:pPr>
      <w:r>
        <w:rPr>
          <w:rFonts w:hint="eastAsia"/>
          <w:color w:val="000000" w:themeColor="text1"/>
          <w:kern w:val="0"/>
          <w:sz w:val="28"/>
        </w:rPr>
        <w:t>物流场站</w:t>
      </w:r>
      <w:r>
        <w:rPr>
          <w:color w:val="000000" w:themeColor="text1"/>
          <w:kern w:val="0"/>
          <w:sz w:val="28"/>
        </w:rPr>
        <w:t>面积是反映</w:t>
      </w:r>
      <w:r>
        <w:rPr>
          <w:rFonts w:hint="eastAsia"/>
          <w:color w:val="000000" w:themeColor="text1"/>
          <w:kern w:val="0"/>
          <w:sz w:val="28"/>
        </w:rPr>
        <w:t>物流车辆和货物</w:t>
      </w:r>
      <w:r>
        <w:rPr>
          <w:color w:val="000000" w:themeColor="text1"/>
          <w:kern w:val="0"/>
          <w:sz w:val="28"/>
        </w:rPr>
        <w:t>存放的难易程度。该指标计算公式如式（</w:t>
      </w:r>
      <w:r>
        <w:rPr>
          <w:rFonts w:hint="eastAsia"/>
          <w:color w:val="000000" w:themeColor="text1"/>
          <w:kern w:val="0"/>
          <w:sz w:val="28"/>
        </w:rPr>
        <w:t>2-4</w:t>
      </w:r>
      <w:r>
        <w:rPr>
          <w:color w:val="000000" w:themeColor="text1"/>
          <w:kern w:val="0"/>
          <w:sz w:val="28"/>
        </w:rPr>
        <w:t>）所示。</w:t>
      </w:r>
    </w:p>
    <w:p>
      <w:pPr>
        <w:pStyle w:val="27"/>
        <w:spacing w:before="0" w:after="0"/>
        <w:ind w:left="0" w:firstLine="560"/>
        <w:jc w:val="left"/>
        <w:textAlignment w:val="center"/>
        <w:rPr>
          <w:color w:val="000000" w:themeColor="text1"/>
          <w:sz w:val="28"/>
        </w:rPr>
      </w:pPr>
      <w:bookmarkStart w:id="74" w:name="_Ref333738750"/>
      <w:r>
        <w:rPr>
          <w:color w:val="000000" w:themeColor="text1"/>
          <w:sz w:val="28"/>
        </w:rPr>
        <w:object>
          <v:shape id="_x0000_i1155" o:spt="75" type="#_x0000_t75" style="height:38.35pt;width:95.4pt;" o:ole="t" filled="f" o:preferrelative="t" stroked="f" coordsize="21600,21600">
            <v:path/>
            <v:fill on="f" focussize="0,0"/>
            <v:stroke on="f" joinstyle="miter"/>
            <v:imagedata r:id="rId292" o:title=""/>
            <o:lock v:ext="edit" aspectratio="t"/>
            <w10:wrap type="none"/>
            <w10:anchorlock/>
          </v:shape>
          <o:OLEObject Type="Embed" ProgID="Equation.3" ShapeID="_x0000_i1155" DrawAspect="Content" ObjectID="_1468075855" r:id="rId291">
            <o:LockedField>false</o:LockedField>
          </o:OLEObject>
        </w:object>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w:t>
      </w:r>
      <w:r>
        <w:rPr>
          <w:rFonts w:hint="eastAsia"/>
          <w:color w:val="000000" w:themeColor="text1"/>
          <w:sz w:val="28"/>
        </w:rPr>
        <w:t>2</w:t>
      </w:r>
      <w:r>
        <w:rPr>
          <w:color w:val="000000" w:themeColor="text1"/>
          <w:sz w:val="28"/>
        </w:rPr>
        <w:noBreakHyphen/>
      </w:r>
      <w:bookmarkEnd w:id="74"/>
      <w:r>
        <w:rPr>
          <w:rFonts w:hint="eastAsia"/>
          <w:color w:val="000000" w:themeColor="text1"/>
          <w:sz w:val="28"/>
        </w:rPr>
        <w:t>4</w:t>
      </w:r>
      <w:r>
        <w:rPr>
          <w:color w:val="000000" w:themeColor="text1"/>
          <w:sz w:val="28"/>
        </w:rPr>
        <w:t>）</w:t>
      </w:r>
    </w:p>
    <w:p>
      <w:pPr>
        <w:pStyle w:val="27"/>
        <w:spacing w:before="0" w:after="0"/>
        <w:ind w:left="0" w:firstLine="560"/>
        <w:jc w:val="left"/>
        <w:rPr>
          <w:color w:val="000000" w:themeColor="text1"/>
          <w:sz w:val="28"/>
        </w:rPr>
      </w:pPr>
      <w:r>
        <w:rPr>
          <w:color w:val="000000" w:themeColor="text1"/>
          <w:sz w:val="28"/>
        </w:rPr>
        <w:t>式中：C</w:t>
      </w:r>
      <w:r>
        <w:rPr>
          <w:color w:val="000000" w:themeColor="text1"/>
          <w:sz w:val="28"/>
          <w:vertAlign w:val="subscript"/>
        </w:rPr>
        <w:t>6</w:t>
      </w:r>
      <w:r>
        <w:rPr>
          <w:color w:val="000000" w:themeColor="text1"/>
          <w:sz w:val="28"/>
        </w:rPr>
        <w:t>——</w:t>
      </w:r>
      <w:r>
        <w:rPr>
          <w:rFonts w:hint="eastAsia"/>
          <w:color w:val="000000" w:themeColor="text1"/>
          <w:sz w:val="28"/>
        </w:rPr>
        <w:t>物流场站</w:t>
      </w:r>
      <w:r>
        <w:rPr>
          <w:color w:val="000000" w:themeColor="text1"/>
          <w:sz w:val="28"/>
        </w:rPr>
        <w:t>面积评价指标得分，（0~1）；</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56" o:spt="75" type="#_x0000_t75" style="height:15.9pt;width:20.55pt;" o:ole="t" filled="f" o:preferrelative="t" stroked="f" coordsize="21600,21600">
            <v:path/>
            <v:fill on="f" focussize="0,0"/>
            <v:stroke on="f" joinstyle="miter"/>
            <v:imagedata r:id="rId294" o:title=""/>
            <o:lock v:ext="edit" aspectratio="t"/>
            <w10:wrap type="none"/>
            <w10:anchorlock/>
          </v:shape>
          <o:OLEObject Type="Embed" ProgID="Equation.3" ShapeID="_x0000_i1156" DrawAspect="Content" ObjectID="_1468075856" r:id="rId293">
            <o:LockedField>false</o:LockedField>
          </o:OLEObject>
        </w:object>
      </w:r>
      <w:r>
        <w:rPr>
          <w:color w:val="000000" w:themeColor="text1"/>
          <w:sz w:val="28"/>
        </w:rPr>
        <w:t>——</w:t>
      </w:r>
      <w:r>
        <w:rPr>
          <w:rFonts w:hint="eastAsia"/>
          <w:color w:val="000000" w:themeColor="text1"/>
          <w:sz w:val="28"/>
        </w:rPr>
        <w:t>物流场站</w:t>
      </w:r>
      <w:r>
        <w:rPr>
          <w:color w:val="000000" w:themeColor="text1"/>
          <w:sz w:val="28"/>
        </w:rPr>
        <w:t>面积；</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57" o:spt="75" type="#_x0000_t75" style="height:24.3pt;width:32.75pt;" o:ole="t" filled="f" o:preferrelative="t" stroked="f" coordsize="21600,21600">
            <v:path/>
            <v:fill on="f" focussize="0,0"/>
            <v:stroke on="f" joinstyle="miter"/>
            <v:imagedata r:id="rId296" o:title=""/>
            <o:lock v:ext="edit" aspectratio="t"/>
            <w10:wrap type="none"/>
            <w10:anchorlock/>
          </v:shape>
          <o:OLEObject Type="Embed" ProgID="Equation.3" ShapeID="_x0000_i1157" DrawAspect="Content" ObjectID="_1468075857" r:id="rId295">
            <o:LockedField>false</o:LockedField>
          </o:OLEObject>
        </w:object>
      </w:r>
      <w:r>
        <w:rPr>
          <w:color w:val="000000" w:themeColor="text1"/>
          <w:sz w:val="28"/>
        </w:rPr>
        <w:t>——</w:t>
      </w:r>
      <w:r>
        <w:rPr>
          <w:rFonts w:hint="eastAsia"/>
          <w:color w:val="000000" w:themeColor="text1"/>
          <w:sz w:val="28"/>
        </w:rPr>
        <w:t>物流场站</w:t>
      </w:r>
      <w:r>
        <w:rPr>
          <w:color w:val="000000" w:themeColor="text1"/>
          <w:sz w:val="28"/>
        </w:rPr>
        <w:t>面积的上限；</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58" o:spt="75" type="#_x0000_t75" style="height:20.55pt;width:26.2pt;" o:ole="t" filled="f" o:preferrelative="t" stroked="f" coordsize="21600,21600">
            <v:path/>
            <v:fill on="f" focussize="0,0"/>
            <v:stroke on="f" joinstyle="miter"/>
            <v:imagedata r:id="rId298" o:title=""/>
            <o:lock v:ext="edit" aspectratio="t"/>
            <w10:wrap type="none"/>
            <w10:anchorlock/>
          </v:shape>
          <o:OLEObject Type="Embed" ProgID="Equation.3" ShapeID="_x0000_i1158" DrawAspect="Content" ObjectID="_1468075858" r:id="rId297">
            <o:LockedField>false</o:LockedField>
          </o:OLEObject>
        </w:object>
      </w:r>
      <w:r>
        <w:rPr>
          <w:color w:val="000000" w:themeColor="text1"/>
          <w:sz w:val="28"/>
        </w:rPr>
        <w:t>——</w:t>
      </w:r>
      <w:r>
        <w:rPr>
          <w:rFonts w:hint="eastAsia"/>
          <w:color w:val="000000" w:themeColor="text1"/>
          <w:sz w:val="28"/>
        </w:rPr>
        <w:t>物流场站</w:t>
      </w:r>
      <w:r>
        <w:rPr>
          <w:color w:val="000000" w:themeColor="text1"/>
          <w:sz w:val="28"/>
        </w:rPr>
        <w:t>面积的下限。</w:t>
      </w:r>
    </w:p>
    <w:p>
      <w:pPr>
        <w:pStyle w:val="27"/>
        <w:spacing w:before="0" w:after="0"/>
        <w:ind w:left="0" w:firstLine="560"/>
        <w:jc w:val="left"/>
        <w:rPr>
          <w:color w:val="000000" w:themeColor="text1"/>
          <w:sz w:val="28"/>
        </w:rPr>
      </w:pPr>
      <w:r>
        <w:rPr>
          <w:color w:val="000000" w:themeColor="text1"/>
          <w:sz w:val="28"/>
        </w:rPr>
        <w:t>7）</w:t>
      </w:r>
      <w:r>
        <w:rPr>
          <w:rFonts w:hint="eastAsia"/>
          <w:color w:val="000000" w:themeColor="text1"/>
          <w:sz w:val="28"/>
        </w:rPr>
        <w:t>平均托运距离</w:t>
      </w:r>
      <w:r>
        <w:rPr>
          <w:color w:val="000000" w:themeColor="text1"/>
          <w:sz w:val="28"/>
        </w:rPr>
        <w:t>（</w:t>
      </w:r>
      <w:r>
        <w:rPr>
          <w:i/>
          <w:color w:val="000000" w:themeColor="text1"/>
          <w:sz w:val="28"/>
        </w:rPr>
        <w:t>C</w:t>
      </w:r>
      <w:r>
        <w:rPr>
          <w:i/>
          <w:color w:val="000000" w:themeColor="text1"/>
          <w:sz w:val="28"/>
          <w:vertAlign w:val="subscript"/>
        </w:rPr>
        <w:t>7</w:t>
      </w:r>
      <w:r>
        <w:rPr>
          <w:color w:val="000000" w:themeColor="text1"/>
          <w:sz w:val="28"/>
        </w:rPr>
        <w:t>）</w:t>
      </w:r>
    </w:p>
    <w:p>
      <w:pPr>
        <w:snapToGrid w:val="0"/>
        <w:spacing w:before="0" w:after="0" w:line="360" w:lineRule="auto"/>
        <w:ind w:left="0" w:firstLine="560" w:firstLineChars="200"/>
        <w:jc w:val="left"/>
        <w:rPr>
          <w:color w:val="000000" w:themeColor="text1"/>
          <w:sz w:val="28"/>
        </w:rPr>
      </w:pPr>
      <w:bookmarkStart w:id="75" w:name="_Hlk526589821"/>
      <w:r>
        <w:rPr>
          <w:rFonts w:hint="eastAsia"/>
          <w:color w:val="000000" w:themeColor="text1"/>
          <w:kern w:val="0"/>
          <w:sz w:val="28"/>
        </w:rPr>
        <w:t>平均托运距离</w:t>
      </w:r>
      <w:bookmarkEnd w:id="75"/>
      <w:r>
        <w:rPr>
          <w:rFonts w:hint="eastAsia"/>
          <w:color w:val="000000" w:themeColor="text1"/>
          <w:kern w:val="0"/>
          <w:sz w:val="28"/>
        </w:rPr>
        <w:t>是指货物托运人到达物流网点平均距离</w:t>
      </w:r>
      <w:r>
        <w:rPr>
          <w:color w:val="000000" w:themeColor="text1"/>
          <w:kern w:val="0"/>
          <w:sz w:val="28"/>
        </w:rPr>
        <w:t>。</w:t>
      </w:r>
      <w:r>
        <w:rPr>
          <w:rFonts w:hint="eastAsia"/>
          <w:color w:val="000000" w:themeColor="text1"/>
          <w:kern w:val="0"/>
          <w:sz w:val="28"/>
        </w:rPr>
        <w:t>平均托运距离</w:t>
      </w:r>
      <w:r>
        <w:rPr>
          <w:color w:val="000000" w:themeColor="text1"/>
          <w:kern w:val="0"/>
          <w:sz w:val="28"/>
        </w:rPr>
        <w:t>是衡量</w:t>
      </w:r>
      <w:r>
        <w:rPr>
          <w:rFonts w:hint="eastAsia"/>
          <w:color w:val="000000" w:themeColor="text1"/>
          <w:kern w:val="0"/>
          <w:sz w:val="28"/>
        </w:rPr>
        <w:t>农村物流</w:t>
      </w:r>
      <w:r>
        <w:rPr>
          <w:color w:val="000000" w:themeColor="text1"/>
          <w:kern w:val="0"/>
          <w:sz w:val="28"/>
        </w:rPr>
        <w:t>发展水平的一项重要指标，同时也是对</w:t>
      </w:r>
      <w:r>
        <w:rPr>
          <w:rFonts w:hint="eastAsia"/>
          <w:color w:val="000000" w:themeColor="text1"/>
          <w:kern w:val="0"/>
          <w:sz w:val="28"/>
        </w:rPr>
        <w:t>物流网点布局合理性的描述，在物流企业中也是</w:t>
      </w:r>
      <w:r>
        <w:rPr>
          <w:color w:val="000000" w:themeColor="text1"/>
          <w:kern w:val="0"/>
          <w:sz w:val="28"/>
        </w:rPr>
        <w:t>竞争力起决定性作用的因素。该指标计算公式如式（</w:t>
      </w:r>
      <w:r>
        <w:rPr>
          <w:rFonts w:hint="eastAsia"/>
          <w:color w:val="000000" w:themeColor="text1"/>
          <w:kern w:val="0"/>
          <w:sz w:val="28"/>
        </w:rPr>
        <w:t>2-5</w:t>
      </w:r>
      <w:r>
        <w:rPr>
          <w:color w:val="000000" w:themeColor="text1"/>
          <w:kern w:val="0"/>
          <w:sz w:val="28"/>
        </w:rPr>
        <w:t>）所示。</w:t>
      </w:r>
    </w:p>
    <w:p>
      <w:pPr>
        <w:spacing w:before="0" w:after="0" w:line="360" w:lineRule="auto"/>
        <w:ind w:left="0"/>
        <w:jc w:val="left"/>
        <w:rPr>
          <w:color w:val="000000" w:themeColor="text1"/>
          <w:sz w:val="28"/>
        </w:rPr>
      </w:pPr>
      <w:r>
        <w:rPr>
          <w:color w:val="000000" w:themeColor="text1"/>
          <w:sz w:val="28"/>
        </w:rPr>
        <w:tab/>
      </w:r>
      <w:r>
        <w:rPr>
          <w:color w:val="000000" w:themeColor="text1"/>
          <w:sz w:val="28"/>
        </w:rPr>
        <w:tab/>
      </w:r>
      <w:r>
        <w:rPr>
          <w:color w:val="000000" w:themeColor="text1"/>
          <w:sz w:val="28"/>
        </w:rPr>
        <w:tab/>
      </w:r>
      <m:oMath>
        <m:sSub>
          <m:sSubPr>
            <m:ctrlPr>
              <w:rPr>
                <w:rFonts w:ascii="Cambria Math" w:hAnsi="Cambria Math"/>
                <w:i/>
                <w:color w:val="000000" w:themeColor="text1"/>
                <w:sz w:val="28"/>
              </w:rPr>
            </m:ctrlPr>
          </m:sSubPr>
          <m:e>
            <m:r>
              <w:rPr>
                <w:rFonts w:ascii="Cambria Math" w:hAnsi="Cambria Math"/>
                <w:color w:val="000000" w:themeColor="text1"/>
                <w:sz w:val="28"/>
              </w:rPr>
              <m:t>c</m:t>
            </m:r>
            <m:ctrlPr>
              <w:rPr>
                <w:rFonts w:ascii="Cambria Math" w:hAnsi="Cambria Math"/>
                <w:i/>
                <w:color w:val="000000" w:themeColor="text1"/>
                <w:sz w:val="28"/>
              </w:rPr>
            </m:ctrlPr>
          </m:e>
          <m:sub>
            <m:r>
              <w:rPr>
                <w:rFonts w:ascii="Cambria Math" w:hAnsi="Cambria Math"/>
                <w:color w:val="000000" w:themeColor="text1"/>
                <w:sz w:val="28"/>
              </w:rPr>
              <m:t>9</m:t>
            </m:r>
            <m:ctrlPr>
              <w:rPr>
                <w:rFonts w:ascii="Cambria Math" w:hAnsi="Cambria Math"/>
                <w:i/>
                <w:color w:val="000000" w:themeColor="text1"/>
                <w:sz w:val="28"/>
              </w:rPr>
            </m:ctrlPr>
          </m:sub>
        </m:sSub>
        <m:r>
          <w:rPr>
            <w:rFonts w:ascii="Cambria Math" w:hAnsi="Cambria Math"/>
            <w:color w:val="000000" w:themeColor="text1"/>
            <w:sz w:val="28"/>
          </w:rPr>
          <m:t>=</m:t>
        </m:r>
        <m:f>
          <m:fPr>
            <m:ctrlPr>
              <w:rPr>
                <w:rFonts w:ascii="Cambria Math" w:hAnsi="Cambria Math"/>
                <w:i/>
                <w:color w:val="000000" w:themeColor="text1"/>
                <w:sz w:val="28"/>
              </w:rPr>
            </m:ctrlPr>
          </m:fPr>
          <m:num>
            <m:r>
              <w:rPr>
                <w:rFonts w:ascii="Cambria Math" w:hAnsi="Cambria Math"/>
                <w:color w:val="000000" w:themeColor="text1"/>
                <w:sz w:val="28"/>
              </w:rPr>
              <m:t>L</m:t>
            </m:r>
            <m:func>
              <m:funcPr>
                <m:ctrlPr>
                  <w:rPr>
                    <w:rFonts w:ascii="Cambria Math" w:hAnsi="Cambria Math"/>
                    <w:i/>
                    <w:color w:val="000000" w:themeColor="text1"/>
                    <w:sz w:val="28"/>
                  </w:rPr>
                </m:ctrlPr>
              </m:funcPr>
              <m:fName>
                <m:r>
                  <w:rPr>
                    <w:rFonts w:ascii="Cambria Math" w:hAnsi="Cambria Math"/>
                    <w:color w:val="000000" w:themeColor="text1"/>
                    <w:sz w:val="28"/>
                  </w:rPr>
                  <m:t>max</m:t>
                </m:r>
                <m:ctrlPr>
                  <w:rPr>
                    <w:rFonts w:ascii="Cambria Math" w:hAnsi="Cambria Math"/>
                    <w:i/>
                    <w:color w:val="000000" w:themeColor="text1"/>
                    <w:sz w:val="28"/>
                  </w:rPr>
                </m:ctrlPr>
              </m:fName>
              <m:e>
                <m:r>
                  <w:rPr>
                    <w:rFonts w:ascii="Cambria Math" w:hAnsi="Cambria Math"/>
                    <w:color w:val="000000" w:themeColor="text1"/>
                    <w:sz w:val="28"/>
                  </w:rPr>
                  <m:t>-L</m:t>
                </m:r>
                <m:ctrlPr>
                  <w:rPr>
                    <w:rFonts w:ascii="Cambria Math" w:hAnsi="Cambria Math"/>
                    <w:i/>
                    <w:color w:val="000000" w:themeColor="text1"/>
                    <w:sz w:val="28"/>
                  </w:rPr>
                </m:ctrlPr>
              </m:e>
            </m:func>
            <m:ctrlPr>
              <w:rPr>
                <w:rFonts w:ascii="Cambria Math" w:hAnsi="Cambria Math"/>
                <w:i/>
                <w:color w:val="000000" w:themeColor="text1"/>
                <w:sz w:val="28"/>
              </w:rPr>
            </m:ctrlPr>
          </m:num>
          <m:den>
            <m:r>
              <w:rPr>
                <w:rFonts w:ascii="Cambria Math" w:hAnsi="Cambria Math"/>
                <w:color w:val="000000" w:themeColor="text1"/>
                <w:sz w:val="28"/>
              </w:rPr>
              <m:t>L</m:t>
            </m:r>
            <m:func>
              <m:funcPr>
                <m:ctrlPr>
                  <w:rPr>
                    <w:rFonts w:ascii="Cambria Math" w:hAnsi="Cambria Math"/>
                    <w:i/>
                    <w:color w:val="000000" w:themeColor="text1"/>
                    <w:sz w:val="28"/>
                  </w:rPr>
                </m:ctrlPr>
              </m:funcPr>
              <m:fName>
                <m:r>
                  <w:rPr>
                    <w:rFonts w:ascii="Cambria Math" w:hAnsi="Cambria Math"/>
                    <w:color w:val="000000" w:themeColor="text1"/>
                    <w:sz w:val="28"/>
                  </w:rPr>
                  <m:t>max</m:t>
                </m:r>
                <m:ctrlPr>
                  <w:rPr>
                    <w:rFonts w:ascii="Cambria Math" w:hAnsi="Cambria Math"/>
                    <w:i/>
                    <w:color w:val="000000" w:themeColor="text1"/>
                    <w:sz w:val="28"/>
                  </w:rPr>
                </m:ctrlPr>
              </m:fName>
              <m:e>
                <m:r>
                  <w:rPr>
                    <w:rFonts w:ascii="Cambria Math" w:hAnsi="Cambria Math"/>
                    <w:color w:val="000000" w:themeColor="text1"/>
                    <w:sz w:val="28"/>
                  </w:rPr>
                  <m:t>-</m:t>
                </m:r>
                <m:sSub>
                  <m:sSubPr>
                    <m:ctrlPr>
                      <w:rPr>
                        <w:rFonts w:ascii="Cambria Math" w:hAnsi="Cambria Math"/>
                        <w:i/>
                        <w:color w:val="000000" w:themeColor="text1"/>
                        <w:sz w:val="28"/>
                      </w:rPr>
                    </m:ctrlPr>
                  </m:sSubPr>
                  <m:e>
                    <m:r>
                      <w:rPr>
                        <w:rFonts w:ascii="Cambria Math" w:hAnsi="Cambria Math"/>
                        <w:color w:val="000000" w:themeColor="text1"/>
                        <w:sz w:val="28"/>
                      </w:rPr>
                      <m:t>L</m:t>
                    </m:r>
                    <m:ctrlPr>
                      <w:rPr>
                        <w:rFonts w:ascii="Cambria Math" w:hAnsi="Cambria Math"/>
                        <w:i/>
                        <w:color w:val="000000" w:themeColor="text1"/>
                        <w:sz w:val="28"/>
                      </w:rPr>
                    </m:ctrlPr>
                  </m:e>
                  <m:sub>
                    <m:r>
                      <w:rPr>
                        <w:rFonts w:ascii="Cambria Math" w:hAnsi="Cambria Math"/>
                        <w:color w:val="000000" w:themeColor="text1"/>
                        <w:sz w:val="28"/>
                      </w:rPr>
                      <m:t>mln</m:t>
                    </m:r>
                    <m:ctrlPr>
                      <w:rPr>
                        <w:rFonts w:ascii="Cambria Math" w:hAnsi="Cambria Math"/>
                        <w:i/>
                        <w:color w:val="000000" w:themeColor="text1"/>
                        <w:sz w:val="28"/>
                      </w:rPr>
                    </m:ctrlPr>
                  </m:sub>
                </m:sSub>
                <m:ctrlPr>
                  <w:rPr>
                    <w:rFonts w:ascii="Cambria Math" w:hAnsi="Cambria Math"/>
                    <w:i/>
                    <w:color w:val="000000" w:themeColor="text1"/>
                    <w:sz w:val="28"/>
                  </w:rPr>
                </m:ctrlPr>
              </m:e>
            </m:func>
            <m:ctrlPr>
              <w:rPr>
                <w:rFonts w:ascii="Cambria Math" w:hAnsi="Cambria Math"/>
                <w:i/>
                <w:color w:val="000000" w:themeColor="text1"/>
                <w:sz w:val="28"/>
              </w:rPr>
            </m:ctrlPr>
          </m:den>
        </m:f>
      </m:oMath>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 xml:space="preserve">             （</w:t>
      </w:r>
      <w:r>
        <w:rPr>
          <w:rFonts w:hint="eastAsia"/>
          <w:color w:val="000000" w:themeColor="text1"/>
          <w:sz w:val="28"/>
        </w:rPr>
        <w:t>2</w:t>
      </w:r>
      <w:r>
        <w:rPr>
          <w:color w:val="000000" w:themeColor="text1"/>
          <w:sz w:val="28"/>
        </w:rPr>
        <w:noBreakHyphen/>
      </w:r>
      <w:r>
        <w:rPr>
          <w:rFonts w:hint="eastAsia"/>
          <w:color w:val="000000" w:themeColor="text1"/>
          <w:sz w:val="28"/>
        </w:rPr>
        <w:t>5）</w:t>
      </w:r>
    </w:p>
    <w:p>
      <w:pPr>
        <w:pStyle w:val="27"/>
        <w:spacing w:before="0" w:after="0"/>
        <w:ind w:left="0" w:firstLine="560"/>
        <w:jc w:val="left"/>
        <w:rPr>
          <w:color w:val="000000" w:themeColor="text1"/>
          <w:sz w:val="28"/>
        </w:rPr>
      </w:pPr>
      <w:r>
        <w:rPr>
          <w:color w:val="000000" w:themeColor="text1"/>
          <w:sz w:val="28"/>
        </w:rPr>
        <w:t>式中：</w:t>
      </w:r>
      <w:r>
        <w:rPr>
          <w:i/>
          <w:color w:val="000000" w:themeColor="text1"/>
          <w:sz w:val="28"/>
        </w:rPr>
        <w:t>C</w:t>
      </w:r>
      <w:r>
        <w:rPr>
          <w:i/>
          <w:color w:val="000000" w:themeColor="text1"/>
          <w:sz w:val="28"/>
          <w:vertAlign w:val="subscript"/>
        </w:rPr>
        <w:t>9</w:t>
      </w:r>
      <w:r>
        <w:rPr>
          <w:color w:val="000000" w:themeColor="text1"/>
          <w:sz w:val="28"/>
        </w:rPr>
        <w:t>——</w:t>
      </w:r>
      <w:r>
        <w:rPr>
          <w:rFonts w:hint="eastAsia"/>
          <w:color w:val="000000" w:themeColor="text1"/>
          <w:sz w:val="28"/>
        </w:rPr>
        <w:t>平均托运距离</w:t>
      </w:r>
      <w:r>
        <w:rPr>
          <w:color w:val="000000" w:themeColor="text1"/>
          <w:sz w:val="28"/>
        </w:rPr>
        <w:t>评价指标得分；</w:t>
      </w:r>
    </w:p>
    <w:p>
      <w:pPr>
        <w:pStyle w:val="27"/>
        <w:spacing w:before="0" w:after="0"/>
        <w:ind w:left="0" w:firstLine="1400" w:firstLineChars="500"/>
        <w:jc w:val="left"/>
        <w:rPr>
          <w:color w:val="000000" w:themeColor="text1"/>
          <w:sz w:val="28"/>
        </w:rPr>
      </w:pPr>
      <w:r>
        <w:rPr>
          <w:color w:val="000000" w:themeColor="text1"/>
          <w:sz w:val="28"/>
        </w:rPr>
        <w:t>L——</w:t>
      </w:r>
      <w:r>
        <w:rPr>
          <w:rFonts w:hint="eastAsia"/>
          <w:color w:val="000000" w:themeColor="text1"/>
          <w:sz w:val="28"/>
        </w:rPr>
        <w:t>平均托运距离</w:t>
      </w:r>
      <w:r>
        <w:rPr>
          <w:color w:val="000000" w:themeColor="text1"/>
          <w:sz w:val="28"/>
        </w:rPr>
        <w:t>；</w:t>
      </w:r>
    </w:p>
    <w:p>
      <w:pPr>
        <w:pStyle w:val="27"/>
        <w:spacing w:before="0" w:after="0"/>
        <w:ind w:left="0" w:firstLine="1400" w:firstLineChars="500"/>
        <w:jc w:val="left"/>
        <w:rPr>
          <w:color w:val="000000" w:themeColor="text1"/>
          <w:sz w:val="28"/>
        </w:rPr>
      </w:pPr>
      <w:r>
        <w:rPr>
          <w:color w:val="000000" w:themeColor="text1"/>
          <w:sz w:val="28"/>
        </w:rPr>
        <w:t>L</w:t>
      </w:r>
      <w:r>
        <w:rPr>
          <w:color w:val="000000" w:themeColor="text1"/>
          <w:sz w:val="28"/>
          <w:vertAlign w:val="subscript"/>
        </w:rPr>
        <w:t>max</w:t>
      </w:r>
      <w:r>
        <w:rPr>
          <w:color w:val="000000" w:themeColor="text1"/>
          <w:sz w:val="28"/>
        </w:rPr>
        <w:t>——</w:t>
      </w:r>
      <w:r>
        <w:rPr>
          <w:rFonts w:hint="eastAsia"/>
          <w:color w:val="000000" w:themeColor="text1"/>
          <w:sz w:val="28"/>
        </w:rPr>
        <w:t>平均托运距离</w:t>
      </w:r>
      <w:r>
        <w:rPr>
          <w:color w:val="000000" w:themeColor="text1"/>
          <w:sz w:val="28"/>
        </w:rPr>
        <w:t>的上限；</w:t>
      </w:r>
    </w:p>
    <w:p>
      <w:pPr>
        <w:pStyle w:val="27"/>
        <w:spacing w:before="0" w:after="0"/>
        <w:ind w:left="0" w:firstLine="1400" w:firstLineChars="500"/>
        <w:jc w:val="left"/>
        <w:rPr>
          <w:color w:val="000000" w:themeColor="text1"/>
          <w:sz w:val="28"/>
        </w:rPr>
      </w:pPr>
      <w:r>
        <w:rPr>
          <w:color w:val="000000" w:themeColor="text1"/>
          <w:sz w:val="28"/>
        </w:rPr>
        <w:t>L</w:t>
      </w:r>
      <w:r>
        <w:rPr>
          <w:color w:val="000000" w:themeColor="text1"/>
          <w:sz w:val="28"/>
          <w:vertAlign w:val="subscript"/>
        </w:rPr>
        <w:t>min</w:t>
      </w:r>
      <w:r>
        <w:rPr>
          <w:color w:val="000000" w:themeColor="text1"/>
          <w:sz w:val="28"/>
        </w:rPr>
        <w:t>——</w:t>
      </w:r>
      <w:r>
        <w:rPr>
          <w:rFonts w:hint="eastAsia"/>
          <w:color w:val="000000" w:themeColor="text1"/>
          <w:sz w:val="28"/>
        </w:rPr>
        <w:t>平均托运距离</w:t>
      </w:r>
      <w:r>
        <w:rPr>
          <w:color w:val="000000" w:themeColor="text1"/>
          <w:sz w:val="28"/>
        </w:rPr>
        <w:t>的下限。</w:t>
      </w:r>
    </w:p>
    <w:p>
      <w:pPr>
        <w:spacing w:before="0" w:after="0" w:line="360" w:lineRule="auto"/>
        <w:ind w:left="0" w:firstLine="560" w:firstLineChars="200"/>
        <w:jc w:val="left"/>
        <w:rPr>
          <w:color w:val="000000" w:themeColor="text1"/>
          <w:sz w:val="28"/>
        </w:rPr>
      </w:pPr>
      <w:r>
        <w:rPr>
          <w:color w:val="000000" w:themeColor="text1"/>
          <w:kern w:val="0"/>
          <w:sz w:val="28"/>
        </w:rPr>
        <w:t>一般</w:t>
      </w:r>
      <w:r>
        <w:rPr>
          <w:rFonts w:hint="eastAsia"/>
          <w:color w:val="000000" w:themeColor="text1"/>
          <w:kern w:val="0"/>
          <w:sz w:val="28"/>
        </w:rPr>
        <w:t>托运距离</w:t>
      </w:r>
      <w:r>
        <w:rPr>
          <w:color w:val="000000" w:themeColor="text1"/>
          <w:kern w:val="0"/>
          <w:sz w:val="28"/>
        </w:rPr>
        <w:t>宜在</w:t>
      </w:r>
      <w:r>
        <w:rPr>
          <w:rFonts w:hint="eastAsia"/>
          <w:color w:val="000000" w:themeColor="text1"/>
          <w:kern w:val="0"/>
          <w:sz w:val="28"/>
        </w:rPr>
        <w:t>200～300米为佳</w:t>
      </w:r>
      <w:r>
        <w:rPr>
          <w:color w:val="000000" w:themeColor="text1"/>
          <w:kern w:val="0"/>
          <w:sz w:val="28"/>
        </w:rPr>
        <w:t>，依城市规模不同而不同。目前我国</w:t>
      </w:r>
      <w:r>
        <w:rPr>
          <w:rFonts w:hint="eastAsia"/>
          <w:color w:val="000000" w:themeColor="text1"/>
          <w:kern w:val="0"/>
          <w:sz w:val="28"/>
        </w:rPr>
        <w:t>绝大多数农村比较分散，托运距离依收发货量确定</w:t>
      </w:r>
      <w:r>
        <w:rPr>
          <w:color w:val="000000" w:themeColor="text1"/>
          <w:kern w:val="0"/>
          <w:sz w:val="28"/>
        </w:rPr>
        <w:t>，一般在5</w:t>
      </w:r>
      <w:r>
        <w:rPr>
          <w:rFonts w:hint="eastAsia"/>
          <w:color w:val="000000" w:themeColor="text1"/>
          <w:kern w:val="0"/>
          <w:sz w:val="28"/>
        </w:rPr>
        <w:t>00～</w:t>
      </w:r>
      <w:r>
        <w:rPr>
          <w:color w:val="000000" w:themeColor="text1"/>
          <w:kern w:val="0"/>
          <w:sz w:val="28"/>
        </w:rPr>
        <w:t>10</w:t>
      </w:r>
      <w:r>
        <w:rPr>
          <w:rFonts w:hint="eastAsia"/>
          <w:color w:val="000000" w:themeColor="text1"/>
          <w:kern w:val="0"/>
          <w:sz w:val="28"/>
        </w:rPr>
        <w:t>00米</w:t>
      </w:r>
      <w:r>
        <w:rPr>
          <w:color w:val="000000" w:themeColor="text1"/>
          <w:kern w:val="0"/>
          <w:sz w:val="28"/>
        </w:rPr>
        <w:t>。</w:t>
      </w:r>
      <w:r>
        <w:rPr>
          <w:rFonts w:hint="eastAsia"/>
          <w:color w:val="000000" w:themeColor="text1"/>
          <w:kern w:val="0"/>
          <w:sz w:val="28"/>
        </w:rPr>
        <w:br w:type="textWrapping"/>
      </w:r>
      <w:r>
        <w:rPr>
          <w:color w:val="000000" w:themeColor="text1"/>
          <w:sz w:val="28"/>
        </w:rPr>
        <w:t xml:space="preserve">    8）</w:t>
      </w:r>
      <w:r>
        <w:rPr>
          <w:rFonts w:hint="eastAsia"/>
          <w:color w:val="000000" w:themeColor="text1"/>
          <w:sz w:val="28"/>
        </w:rPr>
        <w:t>网点设备保障率</w:t>
      </w:r>
      <w:r>
        <w:rPr>
          <w:color w:val="000000" w:themeColor="text1"/>
          <w:sz w:val="28"/>
        </w:rPr>
        <w:t>（</w:t>
      </w:r>
      <w:r>
        <w:rPr>
          <w:i/>
          <w:color w:val="000000" w:themeColor="text1"/>
          <w:sz w:val="28"/>
        </w:rPr>
        <w:t>C</w:t>
      </w:r>
      <w:r>
        <w:rPr>
          <w:i/>
          <w:color w:val="000000" w:themeColor="text1"/>
          <w:sz w:val="28"/>
          <w:vertAlign w:val="subscript"/>
        </w:rPr>
        <w:t>8</w:t>
      </w:r>
      <w:r>
        <w:rPr>
          <w:color w:val="000000" w:themeColor="text1"/>
          <w:sz w:val="28"/>
        </w:rPr>
        <w:t>）</w:t>
      </w:r>
    </w:p>
    <w:p>
      <w:pPr>
        <w:snapToGrid w:val="0"/>
        <w:spacing w:before="0" w:after="0" w:line="360" w:lineRule="auto"/>
        <w:ind w:left="0" w:firstLine="560" w:firstLineChars="200"/>
        <w:jc w:val="left"/>
        <w:rPr>
          <w:color w:val="000000" w:themeColor="text1"/>
          <w:sz w:val="28"/>
        </w:rPr>
      </w:pPr>
      <w:r>
        <w:rPr>
          <w:rFonts w:hint="eastAsia"/>
          <w:color w:val="000000" w:themeColor="text1"/>
          <w:kern w:val="0"/>
          <w:sz w:val="28"/>
        </w:rPr>
        <w:t>网点设备保障率</w:t>
      </w:r>
      <w:r>
        <w:rPr>
          <w:color w:val="000000" w:themeColor="text1"/>
          <w:kern w:val="0"/>
          <w:sz w:val="28"/>
        </w:rPr>
        <w:t>反映</w:t>
      </w:r>
      <w:r>
        <w:rPr>
          <w:rFonts w:hint="eastAsia"/>
          <w:color w:val="000000" w:themeColor="text1"/>
          <w:kern w:val="0"/>
          <w:sz w:val="28"/>
        </w:rPr>
        <w:t>物流网点对托运人的服务水平</w:t>
      </w:r>
      <w:r>
        <w:rPr>
          <w:color w:val="000000" w:themeColor="text1"/>
          <w:kern w:val="0"/>
          <w:sz w:val="28"/>
        </w:rPr>
        <w:t>。其计算公式如式（</w:t>
      </w:r>
      <w:r>
        <w:rPr>
          <w:rFonts w:hint="eastAsia"/>
          <w:color w:val="000000" w:themeColor="text1"/>
          <w:kern w:val="0"/>
          <w:sz w:val="28"/>
        </w:rPr>
        <w:t>5-6</w:t>
      </w:r>
      <w:r>
        <w:rPr>
          <w:color w:val="000000" w:themeColor="text1"/>
          <w:kern w:val="0"/>
          <w:sz w:val="28"/>
        </w:rPr>
        <w:t>）所示。</w:t>
      </w:r>
    </w:p>
    <w:p>
      <w:pPr>
        <w:pStyle w:val="27"/>
        <w:spacing w:before="0" w:after="0"/>
        <w:ind w:left="0" w:firstLine="560"/>
        <w:jc w:val="left"/>
        <w:textAlignment w:val="center"/>
        <w:rPr>
          <w:color w:val="000000" w:themeColor="text1"/>
          <w:sz w:val="28"/>
        </w:rPr>
      </w:pPr>
      <w:bookmarkStart w:id="76" w:name="_Ref333738782"/>
      <w:r>
        <w:rPr>
          <w:color w:val="000000" w:themeColor="text1"/>
          <w:sz w:val="28"/>
        </w:rPr>
        <w:object>
          <v:shape id="_x0000_i1159" o:spt="75" type="#_x0000_t75" style="height:43pt;width:95.4pt;" o:ole="t" filled="f" o:preferrelative="t" stroked="f" coordsize="21600,21600">
            <v:path/>
            <v:fill on="f" focussize="0,0"/>
            <v:stroke on="f" joinstyle="miter"/>
            <v:imagedata r:id="rId300" o:title=""/>
            <o:lock v:ext="edit" aspectratio="t"/>
            <w10:wrap type="none"/>
            <w10:anchorlock/>
          </v:shape>
          <o:OLEObject Type="Embed" ProgID="Equation.3" ShapeID="_x0000_i1159" DrawAspect="Content" ObjectID="_1468075859" r:id="rId299">
            <o:LockedField>false</o:LockedField>
          </o:OLEObject>
        </w:object>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w:t>
      </w:r>
      <w:r>
        <w:rPr>
          <w:rFonts w:hint="eastAsia"/>
          <w:color w:val="000000" w:themeColor="text1"/>
          <w:sz w:val="28"/>
        </w:rPr>
        <w:t>2</w:t>
      </w:r>
      <w:r>
        <w:rPr>
          <w:color w:val="000000" w:themeColor="text1"/>
          <w:sz w:val="28"/>
        </w:rPr>
        <w:noBreakHyphen/>
      </w:r>
      <w:r>
        <w:rPr>
          <w:rFonts w:hint="eastAsia"/>
          <w:color w:val="000000" w:themeColor="text1"/>
          <w:sz w:val="28"/>
        </w:rPr>
        <w:t>6</w:t>
      </w:r>
      <w:bookmarkEnd w:id="76"/>
      <w:r>
        <w:rPr>
          <w:color w:val="000000" w:themeColor="text1"/>
          <w:sz w:val="28"/>
        </w:rPr>
        <w:t>）</w:t>
      </w:r>
    </w:p>
    <w:p>
      <w:pPr>
        <w:pStyle w:val="27"/>
        <w:spacing w:before="0" w:after="0"/>
        <w:ind w:left="0" w:firstLine="560"/>
        <w:jc w:val="left"/>
        <w:rPr>
          <w:color w:val="000000" w:themeColor="text1"/>
          <w:sz w:val="28"/>
        </w:rPr>
      </w:pPr>
      <w:r>
        <w:rPr>
          <w:color w:val="000000" w:themeColor="text1"/>
          <w:sz w:val="28"/>
        </w:rPr>
        <w:t>式中：</w:t>
      </w:r>
      <w:r>
        <w:rPr>
          <w:i/>
          <w:color w:val="000000" w:themeColor="text1"/>
          <w:sz w:val="28"/>
        </w:rPr>
        <w:t>C</w:t>
      </w:r>
      <w:r>
        <w:rPr>
          <w:i/>
          <w:color w:val="000000" w:themeColor="text1"/>
          <w:sz w:val="28"/>
          <w:vertAlign w:val="subscript"/>
        </w:rPr>
        <w:t>8</w:t>
      </w:r>
      <w:r>
        <w:rPr>
          <w:color w:val="000000" w:themeColor="text1"/>
          <w:sz w:val="28"/>
        </w:rPr>
        <w:t>——</w:t>
      </w:r>
      <w:r>
        <w:rPr>
          <w:rFonts w:hint="eastAsia"/>
          <w:color w:val="000000" w:themeColor="text1"/>
          <w:sz w:val="28"/>
        </w:rPr>
        <w:t>网点设备保障率</w:t>
      </w:r>
      <w:r>
        <w:rPr>
          <w:color w:val="000000" w:themeColor="text1"/>
          <w:sz w:val="28"/>
        </w:rPr>
        <w:t>评价指标得分，（0~1）；</w:t>
      </w:r>
    </w:p>
    <w:p>
      <w:pPr>
        <w:pStyle w:val="27"/>
        <w:spacing w:before="0" w:after="0"/>
        <w:ind w:left="0" w:firstLine="1260" w:firstLineChars="450"/>
        <w:jc w:val="left"/>
        <w:rPr>
          <w:color w:val="000000" w:themeColor="text1"/>
          <w:sz w:val="28"/>
        </w:rPr>
      </w:pPr>
      <w:r>
        <w:rPr>
          <w:color w:val="000000" w:themeColor="text1"/>
          <w:sz w:val="28"/>
        </w:rPr>
        <w:object>
          <v:shape id="_x0000_i1160" o:spt="75" type="#_x0000_t75" style="height:17.75pt;width:17.75pt;" o:ole="t" filled="f" o:preferrelative="t" stroked="f" coordsize="21600,21600">
            <v:path/>
            <v:fill on="f" focussize="0,0"/>
            <v:stroke on="f" joinstyle="miter"/>
            <v:imagedata r:id="rId302" o:title=""/>
            <o:lock v:ext="edit" aspectratio="t"/>
            <w10:wrap type="none"/>
            <w10:anchorlock/>
          </v:shape>
          <o:OLEObject Type="Embed" ProgID="Equation.3" ShapeID="_x0000_i1160" DrawAspect="Content" ObjectID="_1468075860" r:id="rId301">
            <o:LockedField>false</o:LockedField>
          </o:OLEObject>
        </w:object>
      </w:r>
      <w:r>
        <w:rPr>
          <w:color w:val="000000" w:themeColor="text1"/>
          <w:sz w:val="28"/>
        </w:rPr>
        <w:t>——</w:t>
      </w:r>
      <w:r>
        <w:rPr>
          <w:rFonts w:hint="eastAsia"/>
          <w:color w:val="000000" w:themeColor="text1"/>
          <w:sz w:val="28"/>
        </w:rPr>
        <w:t>网点设备保障率</w:t>
      </w:r>
      <w:r>
        <w:rPr>
          <w:color w:val="000000" w:themeColor="text1"/>
          <w:sz w:val="28"/>
        </w:rPr>
        <w:t>；</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61" o:spt="75" type="#_x0000_t75" style="height:21.5pt;width:26.2pt;" o:ole="t" filled="f" o:preferrelative="t" stroked="f" coordsize="21600,21600">
            <v:path/>
            <v:fill on="f" focussize="0,0"/>
            <v:stroke on="f" joinstyle="miter"/>
            <v:imagedata r:id="rId304" o:title=""/>
            <o:lock v:ext="edit" aspectratio="t"/>
            <w10:wrap type="none"/>
            <w10:anchorlock/>
          </v:shape>
          <o:OLEObject Type="Embed" ProgID="Equation.3" ShapeID="_x0000_i1161" DrawAspect="Content" ObjectID="_1468075861" r:id="rId303">
            <o:LockedField>false</o:LockedField>
          </o:OLEObject>
        </w:object>
      </w:r>
      <w:r>
        <w:rPr>
          <w:color w:val="000000" w:themeColor="text1"/>
          <w:sz w:val="28"/>
        </w:rPr>
        <w:t>——</w:t>
      </w:r>
      <w:r>
        <w:rPr>
          <w:rFonts w:hint="eastAsia"/>
          <w:color w:val="000000" w:themeColor="text1"/>
          <w:sz w:val="28"/>
        </w:rPr>
        <w:t>网点设备保障率</w:t>
      </w:r>
      <w:r>
        <w:rPr>
          <w:color w:val="000000" w:themeColor="text1"/>
          <w:sz w:val="28"/>
        </w:rPr>
        <w:t>的上限；</w:t>
      </w:r>
    </w:p>
    <w:p>
      <w:pPr>
        <w:pStyle w:val="27"/>
        <w:spacing w:before="0" w:after="0"/>
        <w:ind w:left="0" w:firstLine="1260" w:firstLineChars="450"/>
        <w:jc w:val="left"/>
        <w:textAlignment w:val="center"/>
        <w:rPr>
          <w:color w:val="000000" w:themeColor="text1"/>
          <w:sz w:val="28"/>
        </w:rPr>
      </w:pPr>
      <w:r>
        <w:rPr>
          <w:color w:val="000000" w:themeColor="text1"/>
          <w:sz w:val="28"/>
        </w:rPr>
        <w:object>
          <v:shape id="_x0000_i1162" o:spt="75" type="#_x0000_t75" style="height:23.4pt;width:29pt;" o:ole="t" filled="f" o:preferrelative="t" stroked="f" coordsize="21600,21600">
            <v:path/>
            <v:fill on="f" focussize="0,0"/>
            <v:stroke on="f" joinstyle="miter"/>
            <v:imagedata r:id="rId306" o:title=""/>
            <o:lock v:ext="edit" aspectratio="t"/>
            <w10:wrap type="none"/>
            <w10:anchorlock/>
          </v:shape>
          <o:OLEObject Type="Embed" ProgID="Equation.3" ShapeID="_x0000_i1162" DrawAspect="Content" ObjectID="_1468075862" r:id="rId305">
            <o:LockedField>false</o:LockedField>
          </o:OLEObject>
        </w:object>
      </w:r>
      <w:r>
        <w:rPr>
          <w:color w:val="000000" w:themeColor="text1"/>
          <w:sz w:val="28"/>
        </w:rPr>
        <w:t>——</w:t>
      </w:r>
      <w:r>
        <w:rPr>
          <w:rFonts w:hint="eastAsia"/>
          <w:color w:val="000000" w:themeColor="text1"/>
          <w:sz w:val="28"/>
        </w:rPr>
        <w:t>网点设备保障率</w:t>
      </w:r>
      <w:r>
        <w:rPr>
          <w:color w:val="000000" w:themeColor="text1"/>
          <w:sz w:val="28"/>
        </w:rPr>
        <w:t>的下限。</w:t>
      </w:r>
    </w:p>
    <w:p>
      <w:pPr>
        <w:pStyle w:val="27"/>
        <w:spacing w:before="0" w:after="0"/>
        <w:ind w:left="0" w:firstLine="560"/>
        <w:jc w:val="left"/>
        <w:rPr>
          <w:color w:val="000000" w:themeColor="text1"/>
          <w:sz w:val="28"/>
        </w:rPr>
      </w:pPr>
      <w:r>
        <w:rPr>
          <w:color w:val="000000" w:themeColor="text1"/>
          <w:sz w:val="28"/>
        </w:rPr>
        <w:t>9）平均</w:t>
      </w:r>
      <w:r>
        <w:rPr>
          <w:rFonts w:hint="eastAsia"/>
          <w:color w:val="000000" w:themeColor="text1"/>
          <w:sz w:val="28"/>
        </w:rPr>
        <w:t>收发货</w:t>
      </w:r>
      <w:r>
        <w:rPr>
          <w:color w:val="000000" w:themeColor="text1"/>
          <w:sz w:val="28"/>
        </w:rPr>
        <w:t>时耗（</w:t>
      </w:r>
      <w:r>
        <w:rPr>
          <w:i/>
          <w:color w:val="000000" w:themeColor="text1"/>
          <w:sz w:val="28"/>
        </w:rPr>
        <w:t>C</w:t>
      </w:r>
      <w:r>
        <w:rPr>
          <w:i/>
          <w:color w:val="000000" w:themeColor="text1"/>
          <w:sz w:val="28"/>
          <w:vertAlign w:val="subscript"/>
        </w:rPr>
        <w:t>9</w:t>
      </w:r>
      <w:r>
        <w:rPr>
          <w:color w:val="000000" w:themeColor="text1"/>
          <w:sz w:val="28"/>
        </w:rPr>
        <w:t>）</w:t>
      </w:r>
    </w:p>
    <w:p>
      <w:pPr>
        <w:snapToGrid w:val="0"/>
        <w:spacing w:before="0" w:after="0" w:line="360" w:lineRule="auto"/>
        <w:ind w:left="0" w:firstLine="560" w:firstLineChars="200"/>
        <w:jc w:val="left"/>
        <w:rPr>
          <w:color w:val="000000" w:themeColor="text1"/>
          <w:sz w:val="28"/>
        </w:rPr>
      </w:pPr>
      <w:r>
        <w:rPr>
          <w:color w:val="000000" w:themeColor="text1"/>
          <w:kern w:val="0"/>
          <w:sz w:val="28"/>
        </w:rPr>
        <w:t>平均</w:t>
      </w:r>
      <w:r>
        <w:rPr>
          <w:rFonts w:hint="eastAsia"/>
          <w:color w:val="000000" w:themeColor="text1"/>
          <w:kern w:val="0"/>
          <w:sz w:val="28"/>
        </w:rPr>
        <w:t>收发货</w:t>
      </w:r>
      <w:r>
        <w:rPr>
          <w:color w:val="000000" w:themeColor="text1"/>
          <w:kern w:val="0"/>
          <w:sz w:val="28"/>
        </w:rPr>
        <w:t>时耗包括</w:t>
      </w:r>
      <w:r>
        <w:rPr>
          <w:rFonts w:hint="eastAsia"/>
          <w:color w:val="000000" w:themeColor="text1"/>
          <w:kern w:val="0"/>
          <w:sz w:val="28"/>
        </w:rPr>
        <w:t>等待时间、填单</w:t>
      </w:r>
      <w:r>
        <w:rPr>
          <w:color w:val="000000" w:themeColor="text1"/>
          <w:kern w:val="0"/>
          <w:sz w:val="28"/>
        </w:rPr>
        <w:t>时间、</w:t>
      </w:r>
      <w:r>
        <w:rPr>
          <w:rFonts w:hint="eastAsia"/>
          <w:color w:val="000000" w:themeColor="text1"/>
          <w:kern w:val="0"/>
          <w:sz w:val="28"/>
        </w:rPr>
        <w:t>称重</w:t>
      </w:r>
      <w:r>
        <w:rPr>
          <w:color w:val="000000" w:themeColor="text1"/>
          <w:kern w:val="0"/>
          <w:sz w:val="28"/>
        </w:rPr>
        <w:t>时间、</w:t>
      </w:r>
      <w:r>
        <w:rPr>
          <w:rFonts w:hint="eastAsia"/>
          <w:color w:val="000000" w:themeColor="text1"/>
          <w:kern w:val="0"/>
          <w:sz w:val="28"/>
        </w:rPr>
        <w:t>查货</w:t>
      </w:r>
      <w:r>
        <w:rPr>
          <w:color w:val="000000" w:themeColor="text1"/>
          <w:kern w:val="0"/>
          <w:sz w:val="28"/>
        </w:rPr>
        <w:t>时间</w:t>
      </w:r>
      <w:r>
        <w:rPr>
          <w:rFonts w:hint="eastAsia"/>
          <w:color w:val="000000" w:themeColor="text1"/>
          <w:kern w:val="0"/>
          <w:sz w:val="28"/>
        </w:rPr>
        <w:t>、包装时间、粘贴标签</w:t>
      </w:r>
      <w:r>
        <w:rPr>
          <w:color w:val="000000" w:themeColor="text1"/>
          <w:kern w:val="0"/>
          <w:sz w:val="28"/>
        </w:rPr>
        <w:t>和</w:t>
      </w:r>
      <w:r>
        <w:rPr>
          <w:rFonts w:hint="eastAsia"/>
          <w:color w:val="000000" w:themeColor="text1"/>
          <w:kern w:val="0"/>
          <w:sz w:val="28"/>
        </w:rPr>
        <w:t>收费</w:t>
      </w:r>
      <w:r>
        <w:rPr>
          <w:color w:val="000000" w:themeColor="text1"/>
          <w:kern w:val="0"/>
          <w:sz w:val="28"/>
        </w:rPr>
        <w:t>时间。平均</w:t>
      </w:r>
      <w:r>
        <w:rPr>
          <w:rFonts w:hint="eastAsia"/>
          <w:color w:val="000000" w:themeColor="text1"/>
          <w:kern w:val="0"/>
          <w:sz w:val="28"/>
        </w:rPr>
        <w:t>收发货</w:t>
      </w:r>
      <w:r>
        <w:rPr>
          <w:color w:val="000000" w:themeColor="text1"/>
          <w:kern w:val="0"/>
          <w:sz w:val="28"/>
        </w:rPr>
        <w:t>时耗是衡量</w:t>
      </w:r>
      <w:r>
        <w:rPr>
          <w:rFonts w:hint="eastAsia"/>
          <w:color w:val="000000" w:themeColor="text1"/>
          <w:kern w:val="0"/>
          <w:sz w:val="28"/>
        </w:rPr>
        <w:t>物流服务</w:t>
      </w:r>
      <w:r>
        <w:rPr>
          <w:color w:val="000000" w:themeColor="text1"/>
          <w:kern w:val="0"/>
          <w:sz w:val="28"/>
        </w:rPr>
        <w:t>水平的一项重要指标。该指标计算公式如式（</w:t>
      </w:r>
      <w:r>
        <w:rPr>
          <w:rFonts w:hint="eastAsia"/>
          <w:color w:val="000000" w:themeColor="text1"/>
          <w:kern w:val="0"/>
          <w:sz w:val="28"/>
        </w:rPr>
        <w:t>5-7</w:t>
      </w:r>
      <w:r>
        <w:rPr>
          <w:color w:val="000000" w:themeColor="text1"/>
          <w:kern w:val="0"/>
          <w:sz w:val="28"/>
        </w:rPr>
        <w:t>）所示。</w:t>
      </w:r>
    </w:p>
    <w:p>
      <w:pPr>
        <w:spacing w:before="0" w:after="0" w:line="360" w:lineRule="auto"/>
        <w:ind w:left="0" w:firstLine="1400" w:firstLineChars="500"/>
        <w:jc w:val="left"/>
        <w:rPr>
          <w:color w:val="000000" w:themeColor="text1"/>
          <w:sz w:val="28"/>
        </w:rPr>
      </w:pPr>
      <w:bookmarkStart w:id="77" w:name="_Ref333738795"/>
      <w:r>
        <w:rPr>
          <w:color w:val="000000" w:themeColor="text1"/>
          <w:sz w:val="28"/>
        </w:rPr>
        <w:object>
          <v:shape id="_x0000_i1163" o:spt="75" type="#_x0000_t75" style="height:43pt;width:96.3pt;" o:ole="t" filled="f" o:preferrelative="t" stroked="f" coordsize="21600,21600">
            <v:path/>
            <v:fill on="f" focussize="0,0"/>
            <v:stroke on="f" joinstyle="miter"/>
            <v:imagedata r:id="rId308" o:title=""/>
            <o:lock v:ext="edit" aspectratio="t"/>
            <w10:wrap type="none"/>
            <w10:anchorlock/>
          </v:shape>
          <o:OLEObject Type="Embed" ProgID="Equation.3" ShapeID="_x0000_i1163" DrawAspect="Content" ObjectID="_1468075863" r:id="rId307">
            <o:LockedField>false</o:LockedField>
          </o:OLEObject>
        </w:object>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ab/>
      </w:r>
      <w:r>
        <w:rPr>
          <w:color w:val="000000" w:themeColor="text1"/>
          <w:sz w:val="28"/>
        </w:rPr>
        <w:t>（</w:t>
      </w:r>
      <w:r>
        <w:rPr>
          <w:rFonts w:hint="eastAsia"/>
          <w:color w:val="000000" w:themeColor="text1"/>
          <w:sz w:val="28"/>
        </w:rPr>
        <w:t>2</w:t>
      </w:r>
      <w:r>
        <w:rPr>
          <w:color w:val="000000" w:themeColor="text1"/>
          <w:sz w:val="28"/>
        </w:rPr>
        <w:noBreakHyphen/>
      </w:r>
      <w:r>
        <w:rPr>
          <w:rFonts w:hint="eastAsia"/>
          <w:color w:val="000000" w:themeColor="text1"/>
          <w:sz w:val="28"/>
        </w:rPr>
        <w:t>7）</w:t>
      </w:r>
      <w:bookmarkEnd w:id="77"/>
    </w:p>
    <w:p>
      <w:pPr>
        <w:pStyle w:val="27"/>
        <w:spacing w:before="0" w:after="0"/>
        <w:ind w:left="0" w:firstLine="560"/>
        <w:jc w:val="left"/>
        <w:rPr>
          <w:color w:val="000000" w:themeColor="text1"/>
          <w:sz w:val="28"/>
        </w:rPr>
      </w:pPr>
      <w:r>
        <w:rPr>
          <w:color w:val="000000" w:themeColor="text1"/>
          <w:sz w:val="28"/>
        </w:rPr>
        <w:t>式中：</w:t>
      </w:r>
      <w:r>
        <w:rPr>
          <w:i/>
          <w:color w:val="000000" w:themeColor="text1"/>
          <w:sz w:val="28"/>
        </w:rPr>
        <w:t>C</w:t>
      </w:r>
      <w:r>
        <w:rPr>
          <w:i/>
          <w:color w:val="000000" w:themeColor="text1"/>
          <w:sz w:val="28"/>
          <w:vertAlign w:val="subscript"/>
        </w:rPr>
        <w:t>9</w:t>
      </w:r>
      <w:r>
        <w:rPr>
          <w:color w:val="000000" w:themeColor="text1"/>
          <w:sz w:val="28"/>
        </w:rPr>
        <w:t>——平均</w:t>
      </w:r>
      <w:r>
        <w:rPr>
          <w:rFonts w:hint="eastAsia"/>
          <w:color w:val="000000" w:themeColor="text1"/>
          <w:sz w:val="28"/>
        </w:rPr>
        <w:t>收发货</w:t>
      </w:r>
      <w:r>
        <w:rPr>
          <w:color w:val="000000" w:themeColor="text1"/>
          <w:sz w:val="28"/>
        </w:rPr>
        <w:t>时耗评价指标得分；</w:t>
      </w:r>
    </w:p>
    <w:p>
      <w:pPr>
        <w:pStyle w:val="27"/>
        <w:spacing w:before="0" w:after="0"/>
        <w:ind w:left="0" w:firstLine="1400" w:firstLineChars="500"/>
        <w:jc w:val="left"/>
        <w:rPr>
          <w:color w:val="000000" w:themeColor="text1"/>
          <w:sz w:val="28"/>
        </w:rPr>
      </w:pPr>
      <w:r>
        <w:rPr>
          <w:color w:val="000000" w:themeColor="text1"/>
          <w:sz w:val="28"/>
        </w:rPr>
        <w:t>t——平均</w:t>
      </w:r>
      <w:r>
        <w:rPr>
          <w:rFonts w:hint="eastAsia"/>
          <w:color w:val="000000" w:themeColor="text1"/>
          <w:sz w:val="28"/>
        </w:rPr>
        <w:t>收发货</w:t>
      </w:r>
      <w:r>
        <w:rPr>
          <w:color w:val="000000" w:themeColor="text1"/>
          <w:sz w:val="28"/>
        </w:rPr>
        <w:t>时耗；</w:t>
      </w:r>
    </w:p>
    <w:p>
      <w:pPr>
        <w:pStyle w:val="27"/>
        <w:spacing w:before="0" w:after="0"/>
        <w:ind w:left="0" w:firstLine="1400" w:firstLineChars="500"/>
        <w:jc w:val="left"/>
        <w:rPr>
          <w:color w:val="000000" w:themeColor="text1"/>
          <w:sz w:val="28"/>
        </w:rPr>
      </w:pPr>
      <w:r>
        <w:rPr>
          <w:color w:val="000000" w:themeColor="text1"/>
          <w:sz w:val="28"/>
        </w:rPr>
        <w:t>t</w:t>
      </w:r>
      <w:r>
        <w:rPr>
          <w:color w:val="000000" w:themeColor="text1"/>
          <w:sz w:val="28"/>
          <w:vertAlign w:val="subscript"/>
        </w:rPr>
        <w:t>max</w:t>
      </w:r>
      <w:r>
        <w:rPr>
          <w:color w:val="000000" w:themeColor="text1"/>
          <w:sz w:val="28"/>
        </w:rPr>
        <w:t>——平均</w:t>
      </w:r>
      <w:r>
        <w:rPr>
          <w:rFonts w:hint="eastAsia"/>
          <w:color w:val="000000" w:themeColor="text1"/>
          <w:sz w:val="28"/>
        </w:rPr>
        <w:t>收发货</w:t>
      </w:r>
      <w:r>
        <w:rPr>
          <w:color w:val="000000" w:themeColor="text1"/>
          <w:sz w:val="28"/>
        </w:rPr>
        <w:t>时耗的上限；</w:t>
      </w:r>
    </w:p>
    <w:p>
      <w:pPr>
        <w:pStyle w:val="27"/>
        <w:spacing w:before="0" w:after="0"/>
        <w:ind w:left="0" w:firstLine="1400" w:firstLineChars="500"/>
        <w:jc w:val="left"/>
        <w:rPr>
          <w:color w:val="000000" w:themeColor="text1"/>
          <w:sz w:val="28"/>
        </w:rPr>
      </w:pPr>
      <w:r>
        <w:rPr>
          <w:color w:val="000000" w:themeColor="text1"/>
          <w:sz w:val="28"/>
        </w:rPr>
        <w:t>t</w:t>
      </w:r>
      <w:r>
        <w:rPr>
          <w:color w:val="000000" w:themeColor="text1"/>
          <w:sz w:val="28"/>
          <w:vertAlign w:val="subscript"/>
        </w:rPr>
        <w:t>min</w:t>
      </w:r>
      <w:r>
        <w:rPr>
          <w:color w:val="000000" w:themeColor="text1"/>
          <w:sz w:val="28"/>
        </w:rPr>
        <w:t>——平均</w:t>
      </w:r>
      <w:r>
        <w:rPr>
          <w:rFonts w:hint="eastAsia"/>
          <w:color w:val="000000" w:themeColor="text1"/>
          <w:sz w:val="28"/>
        </w:rPr>
        <w:t>收发货</w:t>
      </w:r>
      <w:r>
        <w:rPr>
          <w:color w:val="000000" w:themeColor="text1"/>
          <w:sz w:val="28"/>
        </w:rPr>
        <w:t>时耗的下限。</w:t>
      </w:r>
    </w:p>
    <w:p>
      <w:pPr>
        <w:snapToGrid w:val="0"/>
        <w:spacing w:before="0" w:after="0" w:line="360" w:lineRule="auto"/>
        <w:ind w:left="0" w:firstLine="560" w:firstLineChars="200"/>
        <w:jc w:val="left"/>
        <w:rPr>
          <w:color w:val="000000" w:themeColor="text1"/>
          <w:sz w:val="28"/>
        </w:rPr>
      </w:pPr>
      <w:r>
        <w:rPr>
          <w:color w:val="000000" w:themeColor="text1"/>
          <w:kern w:val="0"/>
          <w:sz w:val="28"/>
        </w:rPr>
        <w:t>一般</w:t>
      </w:r>
      <w:r>
        <w:rPr>
          <w:rFonts w:hint="eastAsia"/>
          <w:color w:val="000000" w:themeColor="text1"/>
          <w:kern w:val="0"/>
          <w:sz w:val="28"/>
        </w:rPr>
        <w:t>收发货人</w:t>
      </w:r>
      <w:r>
        <w:rPr>
          <w:color w:val="000000" w:themeColor="text1"/>
          <w:kern w:val="0"/>
          <w:sz w:val="28"/>
        </w:rPr>
        <w:t>时耗</w:t>
      </w:r>
      <w:r>
        <w:rPr>
          <w:rFonts w:hint="eastAsia"/>
          <w:color w:val="000000" w:themeColor="text1"/>
          <w:kern w:val="0"/>
          <w:sz w:val="28"/>
        </w:rPr>
        <w:t>适</w:t>
      </w:r>
      <w:r>
        <w:rPr>
          <w:color w:val="000000" w:themeColor="text1"/>
          <w:kern w:val="0"/>
          <w:sz w:val="28"/>
        </w:rPr>
        <w:t>宜在4~5分钟，依</w:t>
      </w:r>
      <w:r>
        <w:rPr>
          <w:rFonts w:hint="eastAsia"/>
          <w:color w:val="000000" w:themeColor="text1"/>
          <w:kern w:val="0"/>
          <w:sz w:val="28"/>
        </w:rPr>
        <w:t>网点</w:t>
      </w:r>
      <w:r>
        <w:rPr>
          <w:color w:val="000000" w:themeColor="text1"/>
          <w:kern w:val="0"/>
          <w:sz w:val="28"/>
        </w:rPr>
        <w:t>规模不同而不同。</w:t>
      </w:r>
      <w:r>
        <w:rPr>
          <w:rFonts w:hint="eastAsia"/>
          <w:color w:val="000000" w:themeColor="text1"/>
          <w:kern w:val="0"/>
          <w:sz w:val="28"/>
        </w:rPr>
        <w:t>最长不宜超过</w:t>
      </w:r>
      <w:r>
        <w:rPr>
          <w:color w:val="000000" w:themeColor="text1"/>
          <w:kern w:val="0"/>
          <w:sz w:val="28"/>
        </w:rPr>
        <w:t>15分钟。</w:t>
      </w:r>
    </w:p>
    <w:p>
      <w:pPr>
        <w:pStyle w:val="4"/>
        <w:widowControl/>
        <w:spacing w:before="240" w:after="60" w:line="240" w:lineRule="auto"/>
        <w:jc w:val="left"/>
        <w:rPr>
          <w:rFonts w:eastAsia="黑体"/>
          <w:bCs/>
          <w:color w:val="000000" w:themeColor="text1"/>
          <w:sz w:val="30"/>
          <w:szCs w:val="30"/>
          <w:lang w:bidi="en-US"/>
        </w:rPr>
      </w:pPr>
      <w:bookmarkStart w:id="78" w:name="_Toc330913287"/>
      <w:r>
        <w:rPr>
          <w:rFonts w:hint="eastAsia" w:eastAsia="黑体"/>
          <w:bCs/>
          <w:color w:val="000000" w:themeColor="text1"/>
          <w:sz w:val="30"/>
          <w:szCs w:val="30"/>
          <w:lang w:bidi="en-US"/>
        </w:rPr>
        <w:t>2.1.3</w:t>
      </w:r>
      <w:r>
        <w:rPr>
          <w:rFonts w:eastAsia="黑体"/>
          <w:bCs/>
          <w:color w:val="000000" w:themeColor="text1"/>
          <w:sz w:val="30"/>
          <w:szCs w:val="30"/>
          <w:lang w:bidi="en-US"/>
        </w:rPr>
        <w:t>评价方法和步骤</w:t>
      </w:r>
      <w:bookmarkEnd w:id="78"/>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（1）权重的确定</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权重是指对于评价目标，评价系统或评价指标之间相对重要程度。采用专家咨询法（德尔菲法）结合层次分析法来确定系统和指标权重，以保证权重分配的客观合理。结合专家咨询意见和层次分析法计算结果，确定各评价子系统与指标权重如</w:t>
      </w:r>
      <w:r>
        <w:fldChar w:fldCharType="begin"/>
      </w:r>
      <w:r>
        <w:instrText xml:space="preserve"> REF _Ref333739364 \h  \* MERGEFORMAT </w:instrText>
      </w:r>
      <w:r>
        <w:fldChar w:fldCharType="separate"/>
      </w:r>
      <w:r>
        <w:rPr>
          <w:color w:val="000000" w:themeColor="text1"/>
          <w:kern w:val="0"/>
          <w:sz w:val="28"/>
        </w:rPr>
        <w:t>表</w:t>
      </w:r>
      <w:r>
        <w:rPr>
          <w:rFonts w:hint="eastAsia"/>
          <w:color w:val="000000" w:themeColor="text1"/>
          <w:kern w:val="0"/>
          <w:sz w:val="28"/>
        </w:rPr>
        <w:t>2</w:t>
      </w:r>
      <w:r>
        <w:rPr>
          <w:color w:val="000000" w:themeColor="text1"/>
          <w:kern w:val="0"/>
          <w:sz w:val="28"/>
        </w:rPr>
        <w:noBreakHyphen/>
      </w:r>
      <w:r>
        <w:rPr>
          <w:color w:val="000000" w:themeColor="text1"/>
          <w:kern w:val="0"/>
          <w:sz w:val="28"/>
        </w:rPr>
        <w:t>1</w:t>
      </w:r>
      <w:r>
        <w:rPr>
          <w:color w:val="000000" w:themeColor="text1"/>
          <w:kern w:val="0"/>
          <w:sz w:val="28"/>
        </w:rPr>
        <w:fldChar w:fldCharType="end"/>
      </w:r>
      <w:r>
        <w:rPr>
          <w:color w:val="000000" w:themeColor="text1"/>
          <w:kern w:val="0"/>
          <w:sz w:val="28"/>
        </w:rPr>
        <w:t>所示。</w:t>
      </w:r>
    </w:p>
    <w:p>
      <w:pPr>
        <w:pStyle w:val="7"/>
        <w:rPr>
          <w:rFonts w:ascii="Times New Roman" w:hAnsi="Times New Roman" w:eastAsia="宋体"/>
          <w:b/>
          <w:color w:val="000000" w:themeColor="text1"/>
          <w:sz w:val="24"/>
          <w:szCs w:val="24"/>
        </w:rPr>
      </w:pPr>
      <w:bookmarkStart w:id="79" w:name="_Ref333739364"/>
      <w:bookmarkStart w:id="80" w:name="_Toc175406112"/>
      <w:bookmarkStart w:id="81" w:name="_Toc470272591"/>
      <w:bookmarkStart w:id="82" w:name="_Toc334639854"/>
      <w:bookmarkStart w:id="83" w:name="_Toc331363576"/>
      <w:r>
        <w:rPr>
          <w:rFonts w:ascii="Times New Roman" w:hAnsi="Times New Roman" w:eastAsia="宋体"/>
          <w:b/>
          <w:color w:val="000000" w:themeColor="text1"/>
          <w:sz w:val="24"/>
          <w:szCs w:val="24"/>
        </w:rPr>
        <w:t>表</w:t>
      </w:r>
      <w:r>
        <w:rPr>
          <w:rFonts w:hint="eastAsia" w:ascii="Times New Roman" w:hAnsi="Times New Roman" w:eastAsia="宋体"/>
          <w:b/>
          <w:color w:val="000000" w:themeColor="text1"/>
          <w:sz w:val="24"/>
          <w:szCs w:val="24"/>
        </w:rPr>
        <w:t>2</w:t>
      </w:r>
      <w:r>
        <w:rPr>
          <w:rFonts w:ascii="Times New Roman" w:hAnsi="Times New Roman" w:eastAsia="宋体"/>
          <w:b/>
          <w:color w:val="000000" w:themeColor="text1"/>
          <w:sz w:val="24"/>
          <w:szCs w:val="24"/>
        </w:rPr>
        <w:noBreakHyphen/>
      </w:r>
      <w:r>
        <w:rPr>
          <w:rFonts w:ascii="Times New Roman" w:hAnsi="Times New Roman" w:eastAsia="宋体"/>
          <w:b/>
          <w:color w:val="000000" w:themeColor="text1"/>
          <w:sz w:val="24"/>
          <w:szCs w:val="24"/>
        </w:rPr>
        <w:fldChar w:fldCharType="begin"/>
      </w:r>
      <w:r>
        <w:rPr>
          <w:rFonts w:ascii="Times New Roman" w:hAnsi="Times New Roman" w:eastAsia="宋体"/>
          <w:b/>
          <w:color w:val="000000" w:themeColor="text1"/>
          <w:sz w:val="24"/>
          <w:szCs w:val="24"/>
        </w:rPr>
        <w:instrText xml:space="preserve"> SEQ 表 \* ARABIC \s 1 </w:instrText>
      </w:r>
      <w:r>
        <w:rPr>
          <w:rFonts w:ascii="Times New Roman" w:hAnsi="Times New Roman" w:eastAsia="宋体"/>
          <w:b/>
          <w:color w:val="000000" w:themeColor="text1"/>
          <w:sz w:val="24"/>
          <w:szCs w:val="24"/>
        </w:rPr>
        <w:fldChar w:fldCharType="separate"/>
      </w:r>
      <w:r>
        <w:rPr>
          <w:rFonts w:ascii="Times New Roman" w:hAnsi="Times New Roman" w:eastAsia="宋体"/>
          <w:b/>
          <w:color w:val="000000" w:themeColor="text1"/>
          <w:sz w:val="24"/>
          <w:szCs w:val="24"/>
        </w:rPr>
        <w:t>1</w:t>
      </w:r>
      <w:r>
        <w:rPr>
          <w:rFonts w:ascii="Times New Roman" w:hAnsi="Times New Roman" w:eastAsia="宋体"/>
          <w:b/>
          <w:color w:val="000000" w:themeColor="text1"/>
          <w:sz w:val="24"/>
          <w:szCs w:val="24"/>
        </w:rPr>
        <w:fldChar w:fldCharType="end"/>
      </w:r>
      <w:bookmarkEnd w:id="79"/>
      <w:r>
        <w:rPr>
          <w:rFonts w:hint="eastAsia" w:ascii="Times New Roman" w:hAnsi="Times New Roman" w:eastAsia="宋体"/>
          <w:b/>
          <w:color w:val="000000" w:themeColor="text1"/>
          <w:sz w:val="24"/>
          <w:szCs w:val="24"/>
        </w:rPr>
        <w:t>网点</w:t>
      </w:r>
      <w:r>
        <w:rPr>
          <w:rFonts w:ascii="Times New Roman" w:hAnsi="Times New Roman" w:eastAsia="宋体"/>
          <w:b/>
          <w:color w:val="000000" w:themeColor="text1"/>
          <w:sz w:val="24"/>
          <w:szCs w:val="24"/>
        </w:rPr>
        <w:t>评价子系统及指标权重</w:t>
      </w:r>
      <w:bookmarkEnd w:id="80"/>
      <w:bookmarkEnd w:id="81"/>
      <w:bookmarkEnd w:id="82"/>
      <w:bookmarkEnd w:id="83"/>
    </w:p>
    <w:tbl>
      <w:tblPr>
        <w:tblStyle w:val="18"/>
        <w:tblW w:w="8800"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
      <w:tblGrid>
        <w:gridCol w:w="993"/>
        <w:gridCol w:w="2409"/>
        <w:gridCol w:w="3413"/>
        <w:gridCol w:w="198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199" w:hRule="atLeast"/>
        </w:trPr>
        <w:tc>
          <w:tcPr>
            <w:tcW w:w="993"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子系统</w:t>
            </w:r>
          </w:p>
        </w:tc>
        <w:tc>
          <w:tcPr>
            <w:tcW w:w="2409"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子系统权重</w:t>
            </w:r>
          </w:p>
        </w:tc>
        <w:tc>
          <w:tcPr>
            <w:tcW w:w="3413"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指标名称</w:t>
            </w:r>
          </w:p>
        </w:tc>
        <w:tc>
          <w:tcPr>
            <w:tcW w:w="1985"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指标权重</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73" w:hRule="atLeast"/>
        </w:trPr>
        <w:tc>
          <w:tcPr>
            <w:tcW w:w="993" w:type="dxa"/>
            <w:vMerge w:val="restart"/>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p>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结构</w:t>
            </w:r>
          </w:p>
        </w:tc>
        <w:tc>
          <w:tcPr>
            <w:tcW w:w="2409" w:type="dxa"/>
            <w:vMerge w:val="restart"/>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Pr>
                <w:rFonts w:hint="eastAsia" w:ascii="Times New Roman" w:hAnsi="Times New Roman"/>
                <w:color w:val="000000" w:themeColor="text1"/>
                <w:sz w:val="24"/>
                <w:szCs w:val="24"/>
              </w:rPr>
              <w:t>3</w:t>
            </w:r>
          </w:p>
        </w:tc>
        <w:tc>
          <w:tcPr>
            <w:tcW w:w="3413" w:type="dxa"/>
            <w:vAlign w:val="center"/>
          </w:tcPr>
          <w:p>
            <w:pPr>
              <w:pStyle w:val="30"/>
              <w:spacing w:before="0" w:after="0"/>
              <w:ind w:left="0" w:firstLine="240" w:firstLineChars="100"/>
              <w:jc w:val="center"/>
              <w:rPr>
                <w:rFonts w:ascii="Times New Roman" w:hAnsi="Times New Roman" w:cs="Times New Roman"/>
                <w:color w:val="000000" w:themeColor="text1"/>
                <w:kern w:val="2"/>
              </w:rPr>
            </w:pPr>
            <w:r>
              <w:rPr>
                <w:rFonts w:hint="eastAsia" w:ascii="Times New Roman" w:hAnsi="Times New Roman" w:cs="Times New Roman"/>
                <w:color w:val="000000" w:themeColor="text1"/>
                <w:kern w:val="2"/>
              </w:rPr>
              <w:t>网点数量</w:t>
            </w:r>
          </w:p>
        </w:tc>
        <w:tc>
          <w:tcPr>
            <w:tcW w:w="1985"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Pr>
                <w:rFonts w:hint="eastAsia" w:ascii="Times New Roman" w:hAnsi="Times New Roman"/>
                <w:color w:val="000000" w:themeColor="text1"/>
                <w:sz w:val="24"/>
                <w:szCs w:val="24"/>
              </w:rPr>
              <w:t>35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13" w:hRule="atLeast"/>
        </w:trPr>
        <w:tc>
          <w:tcPr>
            <w:tcW w:w="993"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2409"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341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配送线路数量</w:t>
            </w:r>
          </w:p>
        </w:tc>
        <w:tc>
          <w:tcPr>
            <w:tcW w:w="1985"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0.4</w:t>
            </w:r>
            <w:r>
              <w:rPr>
                <w:rFonts w:hint="eastAsia" w:ascii="Times New Roman" w:hAnsi="Times New Roman"/>
                <w:color w:val="000000" w:themeColor="text1"/>
                <w:sz w:val="24"/>
                <w:szCs w:val="24"/>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13" w:hRule="atLeast"/>
        </w:trPr>
        <w:tc>
          <w:tcPr>
            <w:tcW w:w="993"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2409"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341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密度</w:t>
            </w:r>
          </w:p>
        </w:tc>
        <w:tc>
          <w:tcPr>
            <w:tcW w:w="1985"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0.2</w:t>
            </w:r>
            <w:r>
              <w:rPr>
                <w:rFonts w:hint="eastAsia" w:ascii="Times New Roman" w:hAnsi="Times New Roman"/>
                <w:color w:val="000000" w:themeColor="text1"/>
                <w:sz w:val="24"/>
                <w:szCs w:val="24"/>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25" w:hRule="atLeast"/>
        </w:trPr>
        <w:tc>
          <w:tcPr>
            <w:tcW w:w="993" w:type="dxa"/>
            <w:vMerge w:val="restart"/>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设施</w:t>
            </w:r>
          </w:p>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水平</w:t>
            </w:r>
          </w:p>
        </w:tc>
        <w:tc>
          <w:tcPr>
            <w:tcW w:w="2409" w:type="dxa"/>
            <w:vMerge w:val="restart"/>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0.4</w:t>
            </w:r>
          </w:p>
        </w:tc>
        <w:tc>
          <w:tcPr>
            <w:tcW w:w="341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面积</w:t>
            </w:r>
          </w:p>
        </w:tc>
        <w:tc>
          <w:tcPr>
            <w:tcW w:w="1985"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0.2</w:t>
            </w:r>
            <w:r>
              <w:rPr>
                <w:rFonts w:hint="eastAsia" w:ascii="Times New Roman" w:hAnsi="Times New Roman"/>
                <w:color w:val="000000" w:themeColor="text1"/>
                <w:sz w:val="24"/>
                <w:szCs w:val="24"/>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94" w:hRule="atLeast"/>
        </w:trPr>
        <w:tc>
          <w:tcPr>
            <w:tcW w:w="993"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2409"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341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覆盖率</w:t>
            </w:r>
          </w:p>
        </w:tc>
        <w:tc>
          <w:tcPr>
            <w:tcW w:w="1985"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0.45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78" w:hRule="atLeast"/>
        </w:trPr>
        <w:tc>
          <w:tcPr>
            <w:tcW w:w="993"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2409" w:type="dxa"/>
            <w:vMerge w:val="continue"/>
            <w:vAlign w:val="center"/>
          </w:tcPr>
          <w:p>
            <w:pPr>
              <w:spacing w:before="0" w:after="0" w:line="360" w:lineRule="auto"/>
              <w:ind w:left="0" w:firstLine="0"/>
              <w:jc w:val="center"/>
              <w:rPr>
                <w:rFonts w:ascii="Times New Roman" w:hAnsi="Times New Roman"/>
                <w:color w:val="000000" w:themeColor="text1"/>
                <w:sz w:val="24"/>
                <w:szCs w:val="24"/>
              </w:rPr>
            </w:pPr>
          </w:p>
        </w:tc>
        <w:tc>
          <w:tcPr>
            <w:tcW w:w="341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物流</w:t>
            </w:r>
            <w:r>
              <w:rPr>
                <w:rFonts w:ascii="Times New Roman" w:hAnsi="Times New Roman"/>
                <w:color w:val="000000" w:themeColor="text1"/>
                <w:sz w:val="24"/>
                <w:szCs w:val="24"/>
              </w:rPr>
              <w:t>场</w:t>
            </w:r>
            <w:r>
              <w:rPr>
                <w:rFonts w:hint="eastAsia" w:ascii="Times New Roman" w:hAnsi="Times New Roman"/>
                <w:color w:val="000000" w:themeColor="text1"/>
                <w:sz w:val="24"/>
                <w:szCs w:val="24"/>
              </w:rPr>
              <w:t>站</w:t>
            </w:r>
            <w:r>
              <w:rPr>
                <w:rFonts w:ascii="Times New Roman" w:hAnsi="Times New Roman"/>
                <w:color w:val="000000" w:themeColor="text1"/>
                <w:sz w:val="24"/>
                <w:szCs w:val="24"/>
              </w:rPr>
              <w:t>面积</w:t>
            </w:r>
          </w:p>
        </w:tc>
        <w:tc>
          <w:tcPr>
            <w:tcW w:w="1985"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Pr>
                <w:rFonts w:hint="eastAsia" w:ascii="Times New Roman" w:hAnsi="Times New Roman"/>
                <w:color w:val="000000" w:themeColor="text1"/>
                <w:sz w:val="24"/>
                <w:szCs w:val="24"/>
              </w:rPr>
              <w:t>30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98" w:hRule="atLeast"/>
        </w:trPr>
        <w:tc>
          <w:tcPr>
            <w:tcW w:w="993" w:type="dxa"/>
            <w:vMerge w:val="restart"/>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服务</w:t>
            </w:r>
          </w:p>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质量</w:t>
            </w:r>
          </w:p>
        </w:tc>
        <w:tc>
          <w:tcPr>
            <w:tcW w:w="2409" w:type="dxa"/>
            <w:vMerge w:val="restart"/>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Pr>
                <w:rFonts w:hint="eastAsia" w:ascii="Times New Roman" w:hAnsi="Times New Roman"/>
                <w:color w:val="000000" w:themeColor="text1"/>
                <w:sz w:val="24"/>
                <w:szCs w:val="24"/>
              </w:rPr>
              <w:t>3</w:t>
            </w:r>
          </w:p>
        </w:tc>
        <w:tc>
          <w:tcPr>
            <w:tcW w:w="341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平均托运距离</w:t>
            </w:r>
          </w:p>
        </w:tc>
        <w:tc>
          <w:tcPr>
            <w:tcW w:w="1985"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Pr>
                <w:rFonts w:hint="eastAsia" w:ascii="Times New Roman" w:hAnsi="Times New Roman"/>
                <w:color w:val="000000" w:themeColor="text1"/>
                <w:sz w:val="24"/>
                <w:szCs w:val="24"/>
              </w:rPr>
              <w:t>20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02" w:hRule="atLeast"/>
        </w:trPr>
        <w:tc>
          <w:tcPr>
            <w:tcW w:w="993" w:type="dxa"/>
            <w:vMerge w:val="continue"/>
            <w:vAlign w:val="center"/>
          </w:tcPr>
          <w:p>
            <w:pPr>
              <w:widowControl/>
              <w:jc w:val="left"/>
              <w:rPr>
                <w:rFonts w:ascii="Times New Roman" w:hAnsi="Times New Roman"/>
                <w:color w:val="000000" w:themeColor="text1"/>
                <w:sz w:val="24"/>
                <w:szCs w:val="24"/>
              </w:rPr>
            </w:pPr>
          </w:p>
        </w:tc>
        <w:tc>
          <w:tcPr>
            <w:tcW w:w="2409" w:type="dxa"/>
            <w:vMerge w:val="continue"/>
            <w:vAlign w:val="center"/>
          </w:tcPr>
          <w:p>
            <w:pPr>
              <w:widowControl/>
              <w:jc w:val="left"/>
              <w:rPr>
                <w:rFonts w:ascii="Times New Roman" w:hAnsi="Times New Roman"/>
                <w:color w:val="000000" w:themeColor="text1"/>
                <w:sz w:val="24"/>
                <w:szCs w:val="24"/>
              </w:rPr>
            </w:pPr>
          </w:p>
        </w:tc>
        <w:tc>
          <w:tcPr>
            <w:tcW w:w="341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网点设备保障率</w:t>
            </w:r>
          </w:p>
        </w:tc>
        <w:tc>
          <w:tcPr>
            <w:tcW w:w="1985"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0.4</w:t>
            </w:r>
            <w:r>
              <w:rPr>
                <w:rFonts w:hint="eastAsia" w:ascii="Times New Roman" w:hAnsi="Times New Roman"/>
                <w:color w:val="000000" w:themeColor="text1"/>
                <w:sz w:val="24"/>
                <w:szCs w:val="24"/>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95" w:hRule="atLeast"/>
        </w:trPr>
        <w:tc>
          <w:tcPr>
            <w:tcW w:w="993" w:type="dxa"/>
            <w:vMerge w:val="continue"/>
            <w:vAlign w:val="center"/>
          </w:tcPr>
          <w:p>
            <w:pPr>
              <w:widowControl/>
              <w:jc w:val="left"/>
              <w:rPr>
                <w:rFonts w:ascii="Times New Roman" w:hAnsi="Times New Roman"/>
                <w:color w:val="000000" w:themeColor="text1"/>
                <w:sz w:val="24"/>
                <w:szCs w:val="24"/>
              </w:rPr>
            </w:pPr>
          </w:p>
        </w:tc>
        <w:tc>
          <w:tcPr>
            <w:tcW w:w="2409" w:type="dxa"/>
            <w:vMerge w:val="continue"/>
            <w:vAlign w:val="center"/>
          </w:tcPr>
          <w:p>
            <w:pPr>
              <w:widowControl/>
              <w:jc w:val="left"/>
              <w:rPr>
                <w:rFonts w:ascii="Times New Roman" w:hAnsi="Times New Roman"/>
                <w:color w:val="000000" w:themeColor="text1"/>
                <w:sz w:val="24"/>
                <w:szCs w:val="24"/>
              </w:rPr>
            </w:pPr>
          </w:p>
        </w:tc>
        <w:tc>
          <w:tcPr>
            <w:tcW w:w="3413"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平均</w:t>
            </w:r>
            <w:r>
              <w:rPr>
                <w:rFonts w:hint="eastAsia" w:ascii="Times New Roman" w:hAnsi="Times New Roman"/>
                <w:color w:val="000000" w:themeColor="text1"/>
                <w:sz w:val="24"/>
                <w:szCs w:val="24"/>
              </w:rPr>
              <w:t>收发货</w:t>
            </w:r>
            <w:r>
              <w:rPr>
                <w:rFonts w:ascii="Times New Roman" w:hAnsi="Times New Roman"/>
                <w:color w:val="000000" w:themeColor="text1"/>
                <w:sz w:val="24"/>
                <w:szCs w:val="24"/>
              </w:rPr>
              <w:t>时耗</w:t>
            </w:r>
          </w:p>
        </w:tc>
        <w:tc>
          <w:tcPr>
            <w:tcW w:w="1985"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0.4</w:t>
            </w:r>
            <w:r>
              <w:rPr>
                <w:rFonts w:hint="eastAsia" w:ascii="Times New Roman" w:hAnsi="Times New Roman"/>
                <w:color w:val="000000" w:themeColor="text1"/>
                <w:sz w:val="24"/>
                <w:szCs w:val="24"/>
              </w:rPr>
              <w:t>0</w:t>
            </w:r>
          </w:p>
        </w:tc>
      </w:tr>
    </w:tbl>
    <w:p>
      <w:pPr>
        <w:snapToGrid w:val="0"/>
        <w:spacing w:before="0" w:after="0" w:line="360" w:lineRule="auto"/>
        <w:ind w:left="0" w:firstLine="560" w:firstLineChars="200"/>
        <w:jc w:val="left"/>
        <w:rPr>
          <w:color w:val="000000" w:themeColor="text1"/>
          <w:kern w:val="0"/>
          <w:sz w:val="28"/>
        </w:rPr>
      </w:pP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（2）确定综合满意度函数</w:t>
      </w:r>
    </w:p>
    <w:p>
      <w:pPr>
        <w:snapToGrid w:val="0"/>
        <w:spacing w:before="0" w:after="0" w:line="360" w:lineRule="auto"/>
        <w:ind w:left="0" w:firstLine="560" w:firstLineChars="200"/>
        <w:jc w:val="left"/>
        <w:rPr>
          <w:color w:val="000000" w:themeColor="text1"/>
          <w:sz w:val="28"/>
        </w:rPr>
      </w:pPr>
      <w:r>
        <w:rPr>
          <w:color w:val="000000" w:themeColor="text1"/>
          <w:kern w:val="0"/>
          <w:sz w:val="28"/>
        </w:rPr>
        <w:t>在计算出各评价指标分级指数和确定出指标权重的基础上，运用综合满意度函数法，分别计算各</w:t>
      </w:r>
      <w:r>
        <w:rPr>
          <w:rFonts w:hint="eastAsia"/>
          <w:color w:val="000000" w:themeColor="text1"/>
          <w:kern w:val="0"/>
          <w:sz w:val="28"/>
        </w:rPr>
        <w:t>网点</w:t>
      </w:r>
      <w:r>
        <w:rPr>
          <w:color w:val="000000" w:themeColor="text1"/>
          <w:kern w:val="0"/>
          <w:sz w:val="28"/>
        </w:rPr>
        <w:t>规划方案的综合满意度函数值，计算公式如下：</w:t>
      </w:r>
    </w:p>
    <w:p>
      <w:pPr>
        <w:pStyle w:val="27"/>
        <w:spacing w:before="0" w:after="0"/>
        <w:ind w:firstLine="560"/>
        <w:jc w:val="left"/>
        <w:rPr>
          <w:color w:val="000000" w:themeColor="text1"/>
          <w:sz w:val="28"/>
          <w:szCs w:val="28"/>
        </w:rPr>
      </w:pPr>
      <w:r>
        <w:rPr>
          <w:color w:val="000000" w:themeColor="text1"/>
          <w:sz w:val="28"/>
          <w:szCs w:val="28"/>
        </w:rPr>
        <w:t>1）各系统层综合满意度u</w:t>
      </w:r>
      <w:r>
        <w:rPr>
          <w:color w:val="000000" w:themeColor="text1"/>
          <w:sz w:val="28"/>
          <w:szCs w:val="28"/>
          <w:vertAlign w:val="subscript"/>
        </w:rPr>
        <w:t>i</w:t>
      </w:r>
      <w:r>
        <w:rPr>
          <w:color w:val="000000" w:themeColor="text1"/>
          <w:sz w:val="28"/>
          <w:szCs w:val="28"/>
        </w:rPr>
        <w:t>：</w:t>
      </w:r>
    </w:p>
    <w:p>
      <w:pPr>
        <w:spacing w:before="0" w:after="0" w:line="360" w:lineRule="auto"/>
        <w:ind w:firstLine="200"/>
        <w:jc w:val="left"/>
        <w:textAlignment w:val="center"/>
        <w:rPr>
          <w:rFonts w:ascii="Times New Roman" w:hAnsi="Times New Roman"/>
          <w:color w:val="000000" w:themeColor="text1"/>
          <w:sz w:val="28"/>
          <w:szCs w:val="28"/>
        </w:rPr>
      </w:pPr>
      <w:bookmarkStart w:id="84" w:name="_Toc361657960"/>
      <w:bookmarkStart w:id="85" w:name="_Toc370842143"/>
      <w:bookmarkStart w:id="86" w:name="_Toc403138546"/>
      <w:bookmarkStart w:id="87" w:name="_Toc337462314"/>
      <w:bookmarkStart w:id="88" w:name="_Toc361685501"/>
      <w:bookmarkStart w:id="89" w:name="_Toc342775102"/>
      <w:bookmarkStart w:id="90" w:name="_Toc370026251"/>
      <w:bookmarkStart w:id="91" w:name="_Toc363835487"/>
      <w:bookmarkStart w:id="92" w:name="_Toc375485174"/>
      <w:r>
        <w:rPr>
          <w:rFonts w:ascii="Times New Roman" w:hAnsi="Times New Roman"/>
          <w:color w:val="000000" w:themeColor="text1"/>
          <w:sz w:val="28"/>
          <w:szCs w:val="28"/>
        </w:rPr>
        <w:object>
          <v:shape id="_x0000_i1164" o:spt="75" type="#_x0000_t75" style="height:24.3pt;width:115pt;" o:ole="t" filled="f" o:preferrelative="t" stroked="f" coordsize="21600,21600">
            <v:path/>
            <v:fill on="f" focussize="0,0"/>
            <v:stroke on="f" joinstyle="miter"/>
            <v:imagedata r:id="rId310" o:title=""/>
            <o:lock v:ext="edit" aspectratio="t"/>
            <w10:wrap type="none"/>
            <w10:anchorlock/>
          </v:shape>
          <o:OLEObject Type="Embed" ProgID="Equation.3" ShapeID="_x0000_i1164" DrawAspect="Content" ObjectID="_1468075864" r:id="rId309">
            <o:LockedField>false</o:LockedField>
          </o:OLEObject>
        </w:object>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w:t>
      </w:r>
      <w:r>
        <w:rPr>
          <w:rFonts w:hint="eastAsia" w:ascii="Times New Roman" w:hAnsi="Times New Roman"/>
          <w:color w:val="000000" w:themeColor="text1"/>
          <w:sz w:val="28"/>
          <w:szCs w:val="28"/>
        </w:rPr>
        <w:t>2</w:t>
      </w:r>
      <w:r>
        <w:rPr>
          <w:rFonts w:ascii="Times New Roman" w:hAnsi="Times New Roman"/>
          <w:color w:val="000000" w:themeColor="text1"/>
          <w:sz w:val="28"/>
          <w:szCs w:val="28"/>
        </w:rPr>
        <w:noBreakHyphen/>
      </w:r>
      <w:r>
        <w:rPr>
          <w:rFonts w:hint="eastAsia" w:ascii="Times New Roman" w:hAnsi="Times New Roman"/>
          <w:color w:val="000000" w:themeColor="text1"/>
          <w:sz w:val="28"/>
          <w:szCs w:val="28"/>
        </w:rPr>
        <w:t>8</w:t>
      </w:r>
      <w:r>
        <w:rPr>
          <w:rFonts w:ascii="Times New Roman" w:hAnsi="Times New Roman"/>
          <w:color w:val="000000" w:themeColor="text1"/>
          <w:sz w:val="28"/>
          <w:szCs w:val="28"/>
        </w:rPr>
        <w:t>）</w:t>
      </w:r>
      <w:bookmarkEnd w:id="84"/>
      <w:bookmarkEnd w:id="85"/>
      <w:bookmarkEnd w:id="86"/>
      <w:bookmarkEnd w:id="87"/>
      <w:bookmarkEnd w:id="88"/>
      <w:bookmarkEnd w:id="89"/>
      <w:bookmarkEnd w:id="90"/>
      <w:bookmarkEnd w:id="91"/>
      <w:bookmarkEnd w:id="92"/>
    </w:p>
    <w:p>
      <w:pPr>
        <w:pStyle w:val="27"/>
        <w:spacing w:before="0" w:after="0"/>
        <w:ind w:firstLine="560"/>
        <w:jc w:val="left"/>
        <w:textAlignment w:val="center"/>
        <w:rPr>
          <w:color w:val="000000" w:themeColor="text1"/>
          <w:sz w:val="28"/>
          <w:szCs w:val="28"/>
        </w:rPr>
      </w:pPr>
      <w:r>
        <w:rPr>
          <w:color w:val="000000" w:themeColor="text1"/>
          <w:sz w:val="28"/>
          <w:szCs w:val="28"/>
        </w:rPr>
        <w:t>式中：</w:t>
      </w:r>
      <w:r>
        <w:rPr>
          <w:color w:val="000000" w:themeColor="text1"/>
          <w:sz w:val="28"/>
          <w:szCs w:val="28"/>
        </w:rPr>
        <w:object>
          <v:shape id="_x0000_i1165" o:spt="75" type="#_x0000_t75" style="height:24.3pt;width:16.85pt;" o:ole="t" filled="f" o:preferrelative="t" stroked="f" coordsize="21600,21600">
            <v:path/>
            <v:fill on="f" focussize="0,0"/>
            <v:stroke on="f" joinstyle="miter"/>
            <v:imagedata r:id="rId312" o:title=""/>
            <o:lock v:ext="edit" aspectratio="t"/>
            <w10:wrap type="none"/>
            <w10:anchorlock/>
          </v:shape>
          <o:OLEObject Type="Embed" ProgID="Equation.3" ShapeID="_x0000_i1165" DrawAspect="Content" ObjectID="_1468075865" r:id="rId311">
            <o:LockedField>false</o:LockedField>
          </o:OLEObject>
        </w:object>
      </w:r>
      <w:r>
        <w:rPr>
          <w:color w:val="000000" w:themeColor="text1"/>
          <w:sz w:val="28"/>
          <w:szCs w:val="28"/>
        </w:rPr>
        <w:t>——表示第I个子系统第j个指标的得分；</w:t>
      </w:r>
    </w:p>
    <w:p>
      <w:pPr>
        <w:pStyle w:val="27"/>
        <w:spacing w:before="0" w:after="0"/>
        <w:ind w:firstLine="1260" w:firstLineChars="450"/>
        <w:jc w:val="left"/>
        <w:textAlignment w:val="center"/>
        <w:rPr>
          <w:color w:val="000000" w:themeColor="text1"/>
          <w:sz w:val="28"/>
          <w:szCs w:val="28"/>
        </w:rPr>
      </w:pPr>
      <w:r>
        <w:rPr>
          <w:color w:val="000000" w:themeColor="text1"/>
          <w:sz w:val="28"/>
          <w:szCs w:val="28"/>
        </w:rPr>
        <w:object>
          <v:shape id="_x0000_i1166" o:spt="75" type="#_x0000_t75" style="height:18.7pt;width:20.55pt;" o:ole="t" filled="f" o:preferrelative="t" stroked="f" coordsize="21600,21600">
            <v:path/>
            <v:fill on="f" focussize="0,0"/>
            <v:stroke on="f" joinstyle="miter"/>
            <v:imagedata r:id="rId314" o:title=""/>
            <o:lock v:ext="edit" aspectratio="t"/>
            <w10:wrap type="none"/>
            <w10:anchorlock/>
          </v:shape>
          <o:OLEObject Type="Embed" ProgID="Equation.3" ShapeID="_x0000_i1166" DrawAspect="Content" ObjectID="_1468075866" r:id="rId313">
            <o:LockedField>false</o:LockedField>
          </o:OLEObject>
        </w:object>
      </w:r>
      <w:r>
        <w:rPr>
          <w:color w:val="000000" w:themeColor="text1"/>
          <w:sz w:val="28"/>
          <w:szCs w:val="28"/>
        </w:rPr>
        <w:t>——对应</w:t>
      </w:r>
      <w:r>
        <w:rPr>
          <w:color w:val="000000" w:themeColor="text1"/>
          <w:sz w:val="28"/>
          <w:szCs w:val="28"/>
        </w:rPr>
        <w:object>
          <v:shape id="_x0000_i1167" o:spt="75" type="#_x0000_t75" style="height:26.2pt;width:20.55pt;" o:ole="t" filled="f" o:preferrelative="t" stroked="f" coordsize="21600,21600">
            <v:path/>
            <v:fill on="f" focussize="0,0"/>
            <v:stroke on="f" joinstyle="miter"/>
            <v:imagedata r:id="rId312" o:title=""/>
            <o:lock v:ext="edit" aspectratio="t"/>
            <w10:wrap type="none"/>
            <w10:anchorlock/>
          </v:shape>
          <o:OLEObject Type="Embed" ProgID="Equation.3" ShapeID="_x0000_i1167" DrawAspect="Content" ObjectID="_1468075867" r:id="rId315">
            <o:LockedField>false</o:LockedField>
          </o:OLEObject>
        </w:object>
      </w:r>
      <w:r>
        <w:rPr>
          <w:color w:val="000000" w:themeColor="text1"/>
          <w:sz w:val="28"/>
          <w:szCs w:val="28"/>
        </w:rPr>
        <w:t>的权重。</w:t>
      </w:r>
    </w:p>
    <w:p>
      <w:pPr>
        <w:pStyle w:val="27"/>
        <w:spacing w:before="0" w:after="0"/>
        <w:ind w:firstLine="560"/>
        <w:jc w:val="left"/>
        <w:rPr>
          <w:color w:val="000000" w:themeColor="text1"/>
          <w:sz w:val="28"/>
          <w:szCs w:val="28"/>
        </w:rPr>
      </w:pPr>
      <w:r>
        <w:rPr>
          <w:color w:val="000000" w:themeColor="text1"/>
          <w:sz w:val="28"/>
          <w:szCs w:val="28"/>
        </w:rPr>
        <w:t>2）整体综合满意度U：</w:t>
      </w:r>
    </w:p>
    <w:p>
      <w:pPr>
        <w:spacing w:before="0" w:after="0" w:line="360" w:lineRule="auto"/>
        <w:ind w:firstLine="200"/>
        <w:jc w:val="left"/>
        <w:textAlignment w:val="center"/>
        <w:rPr>
          <w:rFonts w:ascii="Times New Roman" w:hAnsi="Times New Roman"/>
          <w:color w:val="000000" w:themeColor="text1"/>
          <w:sz w:val="28"/>
          <w:szCs w:val="28"/>
        </w:rPr>
      </w:pPr>
      <w:bookmarkStart w:id="93" w:name="_Toc375485175"/>
      <w:bookmarkStart w:id="94" w:name="_Toc361657961"/>
      <w:bookmarkStart w:id="95" w:name="_Toc361685502"/>
      <w:bookmarkStart w:id="96" w:name="_Toc370842144"/>
      <w:bookmarkStart w:id="97" w:name="_Toc403138547"/>
      <w:bookmarkStart w:id="98" w:name="_Toc337462315"/>
      <w:bookmarkStart w:id="99" w:name="_Toc370026252"/>
      <w:bookmarkStart w:id="100" w:name="_Toc342775103"/>
      <w:bookmarkStart w:id="101" w:name="_Toc363835488"/>
      <w:r>
        <w:rPr>
          <w:rFonts w:ascii="Times New Roman" w:hAnsi="Times New Roman"/>
          <w:color w:val="000000" w:themeColor="text1"/>
          <w:sz w:val="28"/>
          <w:szCs w:val="28"/>
        </w:rPr>
        <w:object>
          <v:shape id="_x0000_i1168" o:spt="75" type="#_x0000_t75" style="height:18.7pt;width:11.2pt;" o:ole="t" filled="f" o:preferrelative="t" stroked="f" coordsize="21600,21600">
            <v:path/>
            <v:fill on="f" focussize="0,0"/>
            <v:stroke on="f" joinstyle="miter"/>
            <v:imagedata r:id="rId89" o:title=""/>
            <o:lock v:ext="edit" aspectratio="t"/>
            <w10:wrap type="none"/>
            <w10:anchorlock/>
          </v:shape>
          <o:OLEObject Type="Embed" ProgID="Equation.3" ShapeID="_x0000_i1168" DrawAspect="Content" ObjectID="_1468075868" r:id="rId316">
            <o:LockedField>false</o:LockedField>
          </o:OLEObject>
        </w:object>
      </w:r>
      <w:r>
        <w:rPr>
          <w:rFonts w:ascii="Times New Roman" w:hAnsi="Times New Roman"/>
          <w:color w:val="000000" w:themeColor="text1"/>
          <w:sz w:val="28"/>
          <w:szCs w:val="28"/>
        </w:rPr>
        <w:object>
          <v:shape id="_x0000_i1169" o:spt="75" type="#_x0000_t75" style="height:21.5pt;width:103.8pt;" o:ole="t" filled="f" o:preferrelative="t" stroked="f" coordsize="21600,21600">
            <v:path/>
            <v:fill on="f" focussize="0,0"/>
            <v:stroke on="f" joinstyle="miter"/>
            <v:imagedata r:id="rId318" o:title=""/>
            <o:lock v:ext="edit" aspectratio="t"/>
            <w10:wrap type="none"/>
            <w10:anchorlock/>
          </v:shape>
          <o:OLEObject Type="Embed" ProgID="Equation.3" ShapeID="_x0000_i1169" DrawAspect="Content" ObjectID="_1468075869" r:id="rId317">
            <o:LockedField>false</o:LockedField>
          </o:OLEObject>
        </w:object>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rPr>
        <w:tab/>
      </w:r>
      <w:r>
        <w:rPr>
          <w:rFonts w:ascii="Times New Roman" w:hAnsi="Times New Roman"/>
          <w:color w:val="000000" w:themeColor="text1"/>
          <w:sz w:val="28"/>
        </w:rPr>
        <w:t>（</w:t>
      </w:r>
      <w:r>
        <w:rPr>
          <w:rFonts w:hint="eastAsia" w:ascii="Times New Roman" w:hAnsi="Times New Roman"/>
          <w:color w:val="000000" w:themeColor="text1"/>
          <w:sz w:val="28"/>
        </w:rPr>
        <w:t>2</w:t>
      </w:r>
      <w:r>
        <w:rPr>
          <w:rFonts w:ascii="Times New Roman" w:hAnsi="Times New Roman"/>
          <w:color w:val="000000" w:themeColor="text1"/>
          <w:sz w:val="28"/>
        </w:rPr>
        <w:noBreakHyphen/>
      </w:r>
      <w:r>
        <w:rPr>
          <w:rFonts w:hint="eastAsia" w:ascii="Times New Roman" w:hAnsi="Times New Roman"/>
          <w:color w:val="000000" w:themeColor="text1"/>
          <w:sz w:val="28"/>
        </w:rPr>
        <w:t>9</w:t>
      </w:r>
      <w:r>
        <w:rPr>
          <w:rFonts w:ascii="Times New Roman" w:hAnsi="Times New Roman"/>
          <w:color w:val="000000" w:themeColor="text1"/>
          <w:sz w:val="28"/>
        </w:rPr>
        <w:t>）</w:t>
      </w:r>
      <w:bookmarkEnd w:id="93"/>
      <w:bookmarkEnd w:id="94"/>
      <w:bookmarkEnd w:id="95"/>
      <w:bookmarkEnd w:id="96"/>
      <w:bookmarkEnd w:id="97"/>
      <w:bookmarkEnd w:id="98"/>
      <w:bookmarkEnd w:id="99"/>
      <w:bookmarkEnd w:id="100"/>
      <w:bookmarkEnd w:id="101"/>
    </w:p>
    <w:p>
      <w:pPr>
        <w:pStyle w:val="27"/>
        <w:spacing w:before="0" w:after="0"/>
        <w:ind w:firstLine="560"/>
        <w:jc w:val="left"/>
        <w:textAlignment w:val="center"/>
        <w:rPr>
          <w:color w:val="000000" w:themeColor="text1"/>
          <w:sz w:val="28"/>
          <w:szCs w:val="28"/>
        </w:rPr>
      </w:pPr>
      <w:r>
        <w:rPr>
          <w:color w:val="000000" w:themeColor="text1"/>
          <w:sz w:val="28"/>
          <w:szCs w:val="28"/>
        </w:rPr>
        <w:object>
          <v:shape id="_x0000_i1170" o:spt="75" type="#_x0000_t75" style="height:18.7pt;width:11.2pt;" o:ole="t" filled="f" o:preferrelative="t" stroked="f" coordsize="21600,21600">
            <v:path/>
            <v:fill on="f" focussize="0,0"/>
            <v:stroke on="f" joinstyle="miter"/>
            <v:imagedata r:id="rId89" o:title=""/>
            <o:lock v:ext="edit" aspectratio="t"/>
            <w10:wrap type="none"/>
            <w10:anchorlock/>
          </v:shape>
          <o:OLEObject Type="Embed" ProgID="Equation.3" ShapeID="_x0000_i1170" DrawAspect="Content" ObjectID="_1468075870" r:id="rId319">
            <o:LockedField>false</o:LockedField>
          </o:OLEObject>
        </w:object>
      </w:r>
      <w:r>
        <w:rPr>
          <w:color w:val="000000" w:themeColor="text1"/>
          <w:sz w:val="28"/>
          <w:szCs w:val="28"/>
        </w:rPr>
        <w:t>式中：</w:t>
      </w:r>
      <w:r>
        <w:rPr>
          <w:color w:val="000000" w:themeColor="text1"/>
          <w:sz w:val="28"/>
          <w:szCs w:val="28"/>
        </w:rPr>
        <w:object>
          <v:shape id="_x0000_i1171" o:spt="75" type="#_x0000_t75" style="height:16.85pt;width:31.8pt;" o:ole="t" filled="f" o:preferrelative="t" stroked="f" coordsize="21600,21600">
            <v:path/>
            <v:fill on="f" focussize="0,0"/>
            <v:stroke on="f" joinstyle="miter"/>
            <v:imagedata r:id="rId321" o:title=""/>
            <o:lock v:ext="edit" aspectratio="t"/>
            <w10:wrap type="none"/>
            <w10:anchorlock/>
          </v:shape>
          <o:OLEObject Type="Embed" ProgID="Equation.3" ShapeID="_x0000_i1171" DrawAspect="Content" ObjectID="_1468075871" r:id="rId320">
            <o:LockedField>false</o:LockedField>
          </o:OLEObject>
        </w:object>
      </w:r>
      <w:r>
        <w:rPr>
          <w:color w:val="000000" w:themeColor="text1"/>
          <w:sz w:val="28"/>
          <w:szCs w:val="28"/>
        </w:rPr>
        <w:t>——子系统I的权重；</w:t>
      </w:r>
    </w:p>
    <w:p>
      <w:pPr>
        <w:pStyle w:val="27"/>
        <w:spacing w:before="0" w:after="0"/>
        <w:ind w:firstLine="560"/>
        <w:jc w:val="left"/>
        <w:textAlignment w:val="center"/>
        <w:rPr>
          <w:color w:val="000000" w:themeColor="text1"/>
          <w:sz w:val="28"/>
          <w:szCs w:val="28"/>
        </w:rPr>
      </w:pPr>
      <w:r>
        <w:rPr>
          <w:color w:val="000000" w:themeColor="text1"/>
          <w:sz w:val="28"/>
          <w:szCs w:val="28"/>
        </w:rPr>
        <w:object>
          <v:shape id="_x0000_i1172" o:spt="75" type="#_x0000_t75" style="height:18.7pt;width:11.2pt;" o:ole="t" filled="f" o:preferrelative="t" stroked="f" coordsize="21600,21600">
            <v:path/>
            <v:fill on="f" focussize="0,0"/>
            <v:stroke on="f" joinstyle="miter"/>
            <v:imagedata r:id="rId89" o:title=""/>
            <o:lock v:ext="edit" aspectratio="t"/>
            <w10:wrap type="none"/>
            <w10:anchorlock/>
          </v:shape>
          <o:OLEObject Type="Embed" ProgID="Equation.3" ShapeID="_x0000_i1172" DrawAspect="Content" ObjectID="_1468075872" r:id="rId322">
            <o:LockedField>false</o:LockedField>
          </o:OLEObject>
        </w:object>
      </w:r>
      <w:r>
        <w:rPr>
          <w:color w:val="000000" w:themeColor="text1"/>
          <w:sz w:val="28"/>
          <w:szCs w:val="28"/>
        </w:rPr>
        <w:object>
          <v:shape id="_x0000_i1173" o:spt="75" type="#_x0000_t75" style="height:20.55pt;width:23.4pt;" o:ole="t" filled="f" o:preferrelative="t" stroked="f" coordsize="21600,21600">
            <v:path/>
            <v:fill on="f" focussize="0,0"/>
            <v:stroke on="f" joinstyle="miter"/>
            <v:imagedata r:id="rId324" o:title=""/>
            <o:lock v:ext="edit" aspectratio="t"/>
            <w10:wrap type="none"/>
            <w10:anchorlock/>
          </v:shape>
          <o:OLEObject Type="Embed" ProgID="Equation.3" ShapeID="_x0000_i1173" DrawAspect="Content" ObjectID="_1468075873" r:id="rId323">
            <o:LockedField>false</o:LockedField>
          </o:OLEObject>
        </w:object>
      </w:r>
      <w:r>
        <w:rPr>
          <w:color w:val="000000" w:themeColor="text1"/>
          <w:sz w:val="28"/>
          <w:szCs w:val="28"/>
        </w:rPr>
        <w:t xml:space="preserve"> ——子系统I的得分。</w:t>
      </w:r>
    </w:p>
    <w:p>
      <w:pPr>
        <w:pStyle w:val="27"/>
        <w:spacing w:before="0" w:after="0"/>
        <w:ind w:firstLine="560"/>
        <w:jc w:val="left"/>
        <w:rPr>
          <w:b/>
          <w:color w:val="000000" w:themeColor="text1"/>
        </w:rPr>
      </w:pPr>
      <w:r>
        <w:rPr>
          <w:color w:val="000000" w:themeColor="text1"/>
          <w:sz w:val="28"/>
          <w:szCs w:val="28"/>
        </w:rPr>
        <w:object>
          <v:shape id="_x0000_i1174" o:spt="75" type="#_x0000_t75" style="height:18.7pt;width:11.2pt;" o:ole="t" filled="f" o:preferrelative="t" stroked="f" coordsize="21600,21600">
            <v:path/>
            <v:fill on="f" focussize="0,0"/>
            <v:stroke on="f" joinstyle="miter"/>
            <v:imagedata r:id="rId89" o:title=""/>
            <o:lock v:ext="edit" aspectratio="t"/>
            <w10:wrap type="none"/>
            <w10:anchorlock/>
          </v:shape>
          <o:OLEObject Type="Embed" ProgID="Equation.3" ShapeID="_x0000_i1174" DrawAspect="Content" ObjectID="_1468075874" r:id="rId325">
            <o:LockedField>false</o:LockedField>
          </o:OLEObject>
        </w:object>
      </w:r>
      <w:r>
        <w:rPr>
          <w:color w:val="000000" w:themeColor="text1"/>
          <w:sz w:val="28"/>
          <w:szCs w:val="28"/>
        </w:rPr>
        <w:t>以U值的大小，作为</w:t>
      </w:r>
      <w:r>
        <w:rPr>
          <w:rFonts w:hint="eastAsia"/>
          <w:color w:val="000000" w:themeColor="text1"/>
          <w:sz w:val="28"/>
          <w:szCs w:val="28"/>
        </w:rPr>
        <w:t>网点</w:t>
      </w:r>
      <w:r>
        <w:rPr>
          <w:color w:val="000000" w:themeColor="text1"/>
          <w:sz w:val="28"/>
          <w:szCs w:val="28"/>
        </w:rPr>
        <w:t>方案排序和选择的依据。分级指数见</w:t>
      </w:r>
      <w:r>
        <w:fldChar w:fldCharType="begin"/>
      </w:r>
      <w:r>
        <w:instrText xml:space="preserve"> REF _Ref160012628 \h  \* MERGEFORMAT </w:instrText>
      </w:r>
      <w:r>
        <w:fldChar w:fldCharType="separate"/>
      </w:r>
    </w:p>
    <w:p>
      <w:pPr>
        <w:pStyle w:val="27"/>
        <w:spacing w:before="0" w:after="0"/>
        <w:ind w:firstLine="482"/>
        <w:jc w:val="left"/>
        <w:rPr>
          <w:b/>
          <w:color w:val="000000" w:themeColor="text1"/>
        </w:rPr>
      </w:pPr>
      <w:r>
        <w:rPr>
          <w:b/>
          <w:color w:val="000000" w:themeColor="text1"/>
        </w:rPr>
        <w:t>表</w:t>
      </w:r>
      <w:r>
        <w:rPr>
          <w:rFonts w:hint="eastAsia"/>
          <w:b/>
          <w:color w:val="000000" w:themeColor="text1"/>
        </w:rPr>
        <w:t>2</w:t>
      </w:r>
      <w:r>
        <w:rPr>
          <w:b/>
          <w:color w:val="000000" w:themeColor="text1"/>
        </w:rPr>
        <w:noBreakHyphen/>
      </w:r>
      <w:r>
        <w:rPr>
          <w:b/>
          <w:color w:val="000000" w:themeColor="text1"/>
        </w:rPr>
        <w:t>2</w:t>
      </w:r>
      <w:r>
        <w:rPr>
          <w:b/>
          <w:color w:val="000000" w:themeColor="text1"/>
        </w:rPr>
        <w:fldChar w:fldCharType="end"/>
      </w:r>
      <w:r>
        <w:rPr>
          <w:color w:val="000000" w:themeColor="text1"/>
          <w:sz w:val="28"/>
          <w:szCs w:val="28"/>
        </w:rPr>
        <w:t>。</w:t>
      </w:r>
      <w:bookmarkStart w:id="102" w:name="_Ref160012628"/>
      <w:bookmarkStart w:id="103" w:name="_Toc334639855"/>
      <w:bookmarkStart w:id="104" w:name="_Toc331363577"/>
      <w:bookmarkStart w:id="105" w:name="_Toc470272592"/>
      <w:bookmarkStart w:id="106" w:name="_Toc175406113"/>
    </w:p>
    <w:p>
      <w:pPr>
        <w:pStyle w:val="27"/>
        <w:spacing w:before="0" w:after="0"/>
        <w:ind w:firstLine="482"/>
        <w:jc w:val="center"/>
        <w:rPr>
          <w:color w:val="000000" w:themeColor="text1"/>
          <w:sz w:val="28"/>
          <w:szCs w:val="28"/>
        </w:rPr>
      </w:pPr>
      <w:r>
        <w:rPr>
          <w:b/>
          <w:color w:val="000000" w:themeColor="text1"/>
        </w:rPr>
        <w:t>表</w:t>
      </w:r>
      <w:r>
        <w:rPr>
          <w:rFonts w:hint="eastAsia"/>
          <w:b/>
          <w:color w:val="000000" w:themeColor="text1"/>
        </w:rPr>
        <w:t>2</w:t>
      </w:r>
      <w:r>
        <w:rPr>
          <w:b/>
          <w:color w:val="000000" w:themeColor="text1"/>
        </w:rPr>
        <w:noBreakHyphen/>
      </w:r>
      <w:r>
        <w:rPr>
          <w:b/>
          <w:color w:val="000000" w:themeColor="text1"/>
        </w:rPr>
        <w:fldChar w:fldCharType="begin"/>
      </w:r>
      <w:r>
        <w:rPr>
          <w:b/>
          <w:color w:val="000000" w:themeColor="text1"/>
        </w:rPr>
        <w:instrText xml:space="preserve"> SEQ 表 \* ARABIC \s 1 </w:instrText>
      </w:r>
      <w:r>
        <w:rPr>
          <w:b/>
          <w:color w:val="000000" w:themeColor="text1"/>
        </w:rPr>
        <w:fldChar w:fldCharType="separate"/>
      </w:r>
      <w:r>
        <w:rPr>
          <w:b/>
          <w:color w:val="000000" w:themeColor="text1"/>
        </w:rPr>
        <w:t>2</w:t>
      </w:r>
      <w:r>
        <w:rPr>
          <w:b/>
          <w:color w:val="000000" w:themeColor="text1"/>
        </w:rPr>
        <w:fldChar w:fldCharType="end"/>
      </w:r>
      <w:bookmarkEnd w:id="102"/>
      <w:r>
        <w:rPr>
          <w:b/>
          <w:color w:val="000000" w:themeColor="text1"/>
        </w:rPr>
        <w:t>评价指标分级表</w:t>
      </w:r>
      <w:bookmarkEnd w:id="103"/>
      <w:bookmarkEnd w:id="104"/>
      <w:bookmarkEnd w:id="105"/>
      <w:bookmarkEnd w:id="106"/>
    </w:p>
    <w:tbl>
      <w:tblPr>
        <w:tblStyle w:val="18"/>
        <w:tblW w:w="8624"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
      <w:tblGrid>
        <w:gridCol w:w="1438"/>
        <w:gridCol w:w="1418"/>
        <w:gridCol w:w="1340"/>
        <w:gridCol w:w="1520"/>
        <w:gridCol w:w="1521"/>
        <w:gridCol w:w="138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738" w:hRule="atLeast"/>
        </w:trPr>
        <w:tc>
          <w:tcPr>
            <w:tcW w:w="1438"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指标分级</w:t>
            </w:r>
          </w:p>
        </w:tc>
        <w:tc>
          <w:tcPr>
            <w:tcW w:w="1418"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好</w:t>
            </w:r>
          </w:p>
        </w:tc>
        <w:tc>
          <w:tcPr>
            <w:tcW w:w="1340"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较好</w:t>
            </w:r>
          </w:p>
        </w:tc>
        <w:tc>
          <w:tcPr>
            <w:tcW w:w="1520"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一般</w:t>
            </w:r>
          </w:p>
        </w:tc>
        <w:tc>
          <w:tcPr>
            <w:tcW w:w="1521"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较差</w:t>
            </w:r>
          </w:p>
        </w:tc>
        <w:tc>
          <w:tcPr>
            <w:tcW w:w="1387"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837" w:hRule="atLeast"/>
        </w:trPr>
        <w:tc>
          <w:tcPr>
            <w:tcW w:w="1438"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指数</w:t>
            </w:r>
          </w:p>
        </w:tc>
        <w:tc>
          <w:tcPr>
            <w:tcW w:w="1418"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1.0-0.81</w:t>
            </w:r>
          </w:p>
        </w:tc>
        <w:tc>
          <w:tcPr>
            <w:tcW w:w="1340"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0.8-0.61</w:t>
            </w:r>
          </w:p>
        </w:tc>
        <w:tc>
          <w:tcPr>
            <w:tcW w:w="1520"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0.6</w:t>
            </w:r>
            <w:r>
              <w:rPr>
                <w:rFonts w:hint="eastAsia" w:ascii="Times New Roman" w:hAnsi="Times New Roman"/>
                <w:color w:val="000000" w:themeColor="text1"/>
                <w:sz w:val="24"/>
                <w:szCs w:val="24"/>
              </w:rPr>
              <w:t>0</w:t>
            </w:r>
            <w:r>
              <w:rPr>
                <w:rFonts w:ascii="Times New Roman" w:hAnsi="Times New Roman"/>
                <w:color w:val="000000" w:themeColor="text1"/>
                <w:sz w:val="24"/>
                <w:szCs w:val="24"/>
              </w:rPr>
              <w:t>-0.41</w:t>
            </w:r>
          </w:p>
        </w:tc>
        <w:tc>
          <w:tcPr>
            <w:tcW w:w="1521"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0.4-0.21</w:t>
            </w:r>
          </w:p>
        </w:tc>
        <w:tc>
          <w:tcPr>
            <w:tcW w:w="1387"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0.2-0</w:t>
            </w:r>
          </w:p>
        </w:tc>
      </w:tr>
    </w:tbl>
    <w:p>
      <w:pPr>
        <w:pStyle w:val="3"/>
        <w:jc w:val="left"/>
        <w:rPr>
          <w:rFonts w:ascii="Times New Roman" w:hAnsi="Times New Roman"/>
          <w:color w:val="000000" w:themeColor="text1"/>
        </w:rPr>
      </w:pPr>
      <w:bookmarkStart w:id="107" w:name="_Toc334639788"/>
      <w:bookmarkStart w:id="108" w:name="_Toc528526479"/>
      <w:bookmarkStart w:id="109" w:name="_Toc472969084"/>
      <w:r>
        <w:rPr>
          <w:rFonts w:hint="eastAsia" w:ascii="Times New Roman" w:hAnsi="Times New Roman"/>
          <w:color w:val="000000" w:themeColor="text1"/>
        </w:rPr>
        <w:t>2.2农村物流网络体系</w:t>
      </w:r>
      <w:r>
        <w:rPr>
          <w:rFonts w:ascii="Times New Roman" w:hAnsi="Times New Roman"/>
          <w:color w:val="000000" w:themeColor="text1"/>
        </w:rPr>
        <w:t>规划指标评价及分析</w:t>
      </w:r>
      <w:bookmarkEnd w:id="107"/>
      <w:bookmarkEnd w:id="108"/>
      <w:bookmarkEnd w:id="109"/>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2.2.1</w:t>
      </w:r>
      <w:r>
        <w:rPr>
          <w:rFonts w:eastAsia="黑体"/>
          <w:bCs/>
          <w:color w:val="000000" w:themeColor="text1"/>
          <w:sz w:val="30"/>
          <w:szCs w:val="30"/>
          <w:lang w:bidi="en-US"/>
        </w:rPr>
        <w:t>现状</w:t>
      </w:r>
      <w:r>
        <w:rPr>
          <w:rFonts w:hint="eastAsia" w:eastAsia="黑体"/>
          <w:bCs/>
          <w:color w:val="000000" w:themeColor="text1"/>
          <w:sz w:val="30"/>
          <w:szCs w:val="30"/>
          <w:lang w:bidi="en-US"/>
        </w:rPr>
        <w:t>网络</w:t>
      </w:r>
      <w:r>
        <w:rPr>
          <w:rFonts w:eastAsia="黑体"/>
          <w:bCs/>
          <w:color w:val="000000" w:themeColor="text1"/>
          <w:sz w:val="30"/>
          <w:szCs w:val="30"/>
          <w:lang w:bidi="en-US"/>
        </w:rPr>
        <w:t>评价及分析</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按照上述评价指标体系，计算</w:t>
      </w:r>
      <w:r>
        <w:rPr>
          <w:rFonts w:hint="eastAsia"/>
          <w:color w:val="000000" w:themeColor="text1"/>
          <w:kern w:val="0"/>
          <w:sz w:val="28"/>
        </w:rPr>
        <w:t>农村物流网络</w:t>
      </w:r>
      <w:r>
        <w:rPr>
          <w:color w:val="000000" w:themeColor="text1"/>
          <w:kern w:val="0"/>
          <w:sz w:val="28"/>
        </w:rPr>
        <w:t>现状规划评价指标如</w:t>
      </w:r>
      <w:r>
        <w:rPr>
          <w:color w:val="000000" w:themeColor="text1"/>
        </w:rPr>
        <w:fldChar w:fldCharType="begin"/>
      </w:r>
      <w:r>
        <w:rPr>
          <w:color w:val="000000" w:themeColor="text1"/>
        </w:rPr>
        <w:instrText xml:space="preserve"> REF _Ref336620244 \h  \* MERGEFORMAT </w:instrText>
      </w:r>
      <w:r>
        <w:rPr>
          <w:color w:val="000000" w:themeColor="text1"/>
        </w:rPr>
        <w:fldChar w:fldCharType="separate"/>
      </w:r>
    </w:p>
    <w:p>
      <w:pPr>
        <w:snapToGrid w:val="0"/>
        <w:spacing w:before="0" w:after="0" w:line="360" w:lineRule="auto"/>
        <w:ind w:left="0" w:firstLine="482" w:firstLineChars="200"/>
        <w:jc w:val="left"/>
        <w:rPr>
          <w:color w:val="000000" w:themeColor="text1"/>
          <w:kern w:val="0"/>
          <w:sz w:val="28"/>
        </w:rPr>
      </w:pPr>
      <w:r>
        <w:rPr>
          <w:rFonts w:ascii="Times New Roman" w:hAnsi="Times New Roman"/>
          <w:b/>
          <w:color w:val="000000" w:themeColor="text1"/>
          <w:sz w:val="24"/>
          <w:szCs w:val="24"/>
        </w:rPr>
        <w:t>表</w:t>
      </w:r>
      <w:r>
        <w:rPr>
          <w:rFonts w:hint="eastAsia" w:ascii="Times New Roman" w:hAnsi="Times New Roman"/>
          <w:b/>
          <w:color w:val="000000" w:themeColor="text1"/>
          <w:sz w:val="24"/>
          <w:szCs w:val="24"/>
        </w:rPr>
        <w:t>2</w:t>
      </w:r>
      <w:r>
        <w:rPr>
          <w:rFonts w:ascii="Times New Roman" w:hAnsi="Times New Roman"/>
          <w:b/>
          <w:color w:val="000000" w:themeColor="text1"/>
          <w:sz w:val="24"/>
          <w:szCs w:val="24"/>
        </w:rPr>
        <w:noBreakHyphen/>
      </w:r>
      <w:r>
        <w:rPr>
          <w:rFonts w:ascii="Times New Roman" w:hAnsi="Times New Roman"/>
          <w:b/>
          <w:color w:val="000000" w:themeColor="text1"/>
          <w:sz w:val="24"/>
          <w:szCs w:val="24"/>
        </w:rPr>
        <w:t>3</w:t>
      </w:r>
      <w:r>
        <w:rPr>
          <w:color w:val="000000" w:themeColor="text1"/>
        </w:rPr>
        <w:fldChar w:fldCharType="end"/>
      </w:r>
      <w:r>
        <w:rPr>
          <w:color w:val="000000" w:themeColor="text1"/>
          <w:kern w:val="0"/>
          <w:sz w:val="28"/>
        </w:rPr>
        <w:t>所示。</w:t>
      </w:r>
      <w:bookmarkStart w:id="110" w:name="_Ref336620244"/>
      <w:bookmarkStart w:id="111" w:name="_Toc470272593"/>
    </w:p>
    <w:p>
      <w:pPr>
        <w:snapToGrid w:val="0"/>
        <w:spacing w:before="0" w:after="0" w:line="360" w:lineRule="auto"/>
        <w:ind w:left="576" w:hanging="576" w:hangingChars="239"/>
        <w:jc w:val="center"/>
        <w:rPr>
          <w:color w:val="000000" w:themeColor="text1"/>
          <w:kern w:val="0"/>
          <w:sz w:val="28"/>
        </w:rPr>
      </w:pPr>
      <w:r>
        <w:rPr>
          <w:rFonts w:ascii="Times New Roman" w:hAnsi="Times New Roman"/>
          <w:b/>
          <w:color w:val="000000" w:themeColor="text1"/>
          <w:sz w:val="24"/>
          <w:szCs w:val="24"/>
        </w:rPr>
        <w:t>表</w:t>
      </w:r>
      <w:r>
        <w:rPr>
          <w:rFonts w:hint="eastAsia" w:ascii="Times New Roman" w:hAnsi="Times New Roman"/>
          <w:b/>
          <w:color w:val="000000" w:themeColor="text1"/>
          <w:sz w:val="24"/>
          <w:szCs w:val="24"/>
        </w:rPr>
        <w:t>2</w:t>
      </w:r>
      <w:r>
        <w:rPr>
          <w:rFonts w:ascii="Times New Roman" w:hAnsi="Times New Roman"/>
          <w:b/>
          <w:color w:val="000000" w:themeColor="text1"/>
          <w:sz w:val="24"/>
          <w:szCs w:val="24"/>
        </w:rPr>
        <w:noBreakHyphen/>
      </w:r>
      <w:r>
        <w:rPr>
          <w:rFonts w:ascii="Times New Roman" w:hAnsi="Times New Roman"/>
          <w:b/>
          <w:color w:val="000000" w:themeColor="text1"/>
          <w:sz w:val="24"/>
          <w:szCs w:val="24"/>
        </w:rPr>
        <w:fldChar w:fldCharType="begin"/>
      </w:r>
      <w:r>
        <w:rPr>
          <w:rFonts w:ascii="Times New Roman" w:hAnsi="Times New Roman"/>
          <w:b/>
          <w:color w:val="000000" w:themeColor="text1"/>
          <w:sz w:val="24"/>
          <w:szCs w:val="24"/>
        </w:rPr>
        <w:instrText xml:space="preserve"> SEQ 表 \* ARABIC \s 1 </w:instrText>
      </w:r>
      <w:r>
        <w:rPr>
          <w:rFonts w:ascii="Times New Roman" w:hAnsi="Times New Roman"/>
          <w:b/>
          <w:color w:val="000000" w:themeColor="text1"/>
          <w:sz w:val="24"/>
          <w:szCs w:val="24"/>
        </w:rPr>
        <w:fldChar w:fldCharType="separate"/>
      </w:r>
      <w:r>
        <w:rPr>
          <w:rFonts w:ascii="Times New Roman" w:hAnsi="Times New Roman"/>
          <w:b/>
          <w:color w:val="000000" w:themeColor="text1"/>
          <w:sz w:val="24"/>
          <w:szCs w:val="24"/>
        </w:rPr>
        <w:t>3</w:t>
      </w:r>
      <w:r>
        <w:rPr>
          <w:rFonts w:ascii="Times New Roman" w:hAnsi="Times New Roman"/>
          <w:b/>
          <w:color w:val="000000" w:themeColor="text1"/>
          <w:sz w:val="24"/>
          <w:szCs w:val="24"/>
        </w:rPr>
        <w:fldChar w:fldCharType="end"/>
      </w:r>
      <w:bookmarkEnd w:id="110"/>
      <w:r>
        <w:rPr>
          <w:rFonts w:ascii="Times New Roman" w:hAnsi="Times New Roman"/>
          <w:b/>
          <w:color w:val="000000" w:themeColor="text1"/>
          <w:sz w:val="24"/>
          <w:szCs w:val="24"/>
        </w:rPr>
        <w:t>现状</w:t>
      </w:r>
      <w:r>
        <w:rPr>
          <w:rFonts w:hint="eastAsia"/>
          <w:color w:val="000000" w:themeColor="text1"/>
          <w:sz w:val="28"/>
        </w:rPr>
        <w:t>农村</w:t>
      </w:r>
      <w:r>
        <w:rPr>
          <w:rFonts w:hint="eastAsia" w:ascii="Times New Roman" w:hAnsi="Times New Roman"/>
          <w:b/>
          <w:color w:val="000000" w:themeColor="text1"/>
          <w:sz w:val="24"/>
          <w:szCs w:val="24"/>
        </w:rPr>
        <w:t>物流网络体系</w:t>
      </w:r>
      <w:r>
        <w:rPr>
          <w:rFonts w:ascii="Times New Roman" w:hAnsi="Times New Roman"/>
          <w:b/>
          <w:color w:val="000000" w:themeColor="text1"/>
          <w:sz w:val="24"/>
          <w:szCs w:val="24"/>
        </w:rPr>
        <w:t>评价结果</w:t>
      </w:r>
      <w:bookmarkEnd w:id="111"/>
    </w:p>
    <w:tbl>
      <w:tblPr>
        <w:tblStyle w:val="18"/>
        <w:tblW w:w="8670"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
      <w:tblGrid>
        <w:gridCol w:w="776"/>
        <w:gridCol w:w="2877"/>
        <w:gridCol w:w="874"/>
        <w:gridCol w:w="707"/>
        <w:gridCol w:w="851"/>
        <w:gridCol w:w="877"/>
        <w:gridCol w:w="843"/>
        <w:gridCol w:w="86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22" w:hRule="atLeast"/>
          <w:jc w:val="center"/>
        </w:trPr>
        <w:tc>
          <w:tcPr>
            <w:tcW w:w="776" w:type="dxa"/>
            <w:vMerge w:val="restart"/>
            <w:tcBorders>
              <w:top w:val="thinThickSmallGap" w:color="auto" w:sz="18" w:space="0"/>
              <w:bottom w:val="single" w:color="auto" w:sz="12" w:space="0"/>
            </w:tcBorders>
            <w:tcMar>
              <w:top w:w="0" w:type="dxa"/>
              <w:left w:w="0" w:type="dxa"/>
              <w:bottom w:w="0" w:type="dxa"/>
              <w:right w:w="0" w:type="dxa"/>
            </w:tcMar>
            <w:vAlign w:val="center"/>
          </w:tcPr>
          <w:p>
            <w:pPr>
              <w:spacing w:before="0" w:after="0" w:line="24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子系统</w:t>
            </w:r>
          </w:p>
        </w:tc>
        <w:tc>
          <w:tcPr>
            <w:tcW w:w="2877" w:type="dxa"/>
            <w:vMerge w:val="restart"/>
            <w:tcBorders>
              <w:top w:val="thinThickSmallGap" w:color="auto" w:sz="18" w:space="0"/>
              <w:bottom w:val="single" w:color="auto" w:sz="12" w:space="0"/>
            </w:tcBorders>
            <w:vAlign w:val="center"/>
          </w:tcPr>
          <w:p>
            <w:pPr>
              <w:spacing w:before="0" w:after="0" w:line="24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指标名称</w:t>
            </w:r>
          </w:p>
        </w:tc>
        <w:tc>
          <w:tcPr>
            <w:tcW w:w="874" w:type="dxa"/>
            <w:vMerge w:val="restart"/>
            <w:tcBorders>
              <w:top w:val="thinThickSmallGap" w:color="auto" w:sz="18" w:space="0"/>
              <w:bottom w:val="single" w:color="auto" w:sz="12" w:space="0"/>
            </w:tcBorders>
            <w:vAlign w:val="center"/>
          </w:tcPr>
          <w:p>
            <w:pPr>
              <w:spacing w:before="0" w:after="0" w:line="24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取值</w:t>
            </w:r>
          </w:p>
        </w:tc>
        <w:tc>
          <w:tcPr>
            <w:tcW w:w="1558" w:type="dxa"/>
            <w:gridSpan w:val="2"/>
            <w:tcBorders>
              <w:top w:val="thinThickSmallGap" w:color="auto" w:sz="18" w:space="0"/>
              <w:bottom w:val="single" w:color="auto" w:sz="12" w:space="0"/>
            </w:tcBorders>
            <w:vAlign w:val="center"/>
          </w:tcPr>
          <w:p>
            <w:pPr>
              <w:spacing w:before="0" w:after="0" w:line="24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指标</w:t>
            </w:r>
          </w:p>
        </w:tc>
        <w:tc>
          <w:tcPr>
            <w:tcW w:w="1720" w:type="dxa"/>
            <w:gridSpan w:val="2"/>
            <w:tcBorders>
              <w:top w:val="thinThickSmallGap" w:color="auto" w:sz="18" w:space="0"/>
              <w:bottom w:val="single" w:color="auto" w:sz="12" w:space="0"/>
            </w:tcBorders>
            <w:vAlign w:val="center"/>
          </w:tcPr>
          <w:p>
            <w:pPr>
              <w:spacing w:before="0" w:after="0" w:line="24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子系统</w:t>
            </w:r>
          </w:p>
        </w:tc>
        <w:tc>
          <w:tcPr>
            <w:tcW w:w="865" w:type="dxa"/>
            <w:vMerge w:val="restart"/>
            <w:tcBorders>
              <w:top w:val="thinThickSmallGap" w:color="auto" w:sz="18" w:space="0"/>
              <w:bottom w:val="single" w:color="auto" w:sz="12" w:space="0"/>
            </w:tcBorders>
            <w:vAlign w:val="center"/>
          </w:tcPr>
          <w:p>
            <w:pPr>
              <w:spacing w:before="0" w:after="0" w:line="24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总评价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653" w:hRule="atLeast"/>
          <w:jc w:val="center"/>
        </w:trPr>
        <w:tc>
          <w:tcPr>
            <w:tcW w:w="776"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p>
        </w:tc>
        <w:tc>
          <w:tcPr>
            <w:tcW w:w="2877"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p>
        </w:tc>
        <w:tc>
          <w:tcPr>
            <w:tcW w:w="874"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Cs/>
                <w:color w:val="000000" w:themeColor="text1"/>
                <w:sz w:val="24"/>
                <w:szCs w:val="24"/>
              </w:rPr>
            </w:pPr>
          </w:p>
        </w:tc>
        <w:tc>
          <w:tcPr>
            <w:tcW w:w="707" w:type="dxa"/>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r>
              <w:rPr>
                <w:rFonts w:ascii="Times New Roman" w:hAnsi="Times New Roman"/>
                <w:b/>
                <w:bCs/>
                <w:color w:val="000000" w:themeColor="text1"/>
                <w:sz w:val="24"/>
                <w:szCs w:val="24"/>
              </w:rPr>
              <w:t>得分</w:t>
            </w:r>
          </w:p>
        </w:tc>
        <w:tc>
          <w:tcPr>
            <w:tcW w:w="851" w:type="dxa"/>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r>
              <w:rPr>
                <w:rFonts w:ascii="Times New Roman" w:hAnsi="Times New Roman"/>
                <w:b/>
                <w:bCs/>
                <w:color w:val="000000" w:themeColor="text1"/>
                <w:sz w:val="24"/>
                <w:szCs w:val="24"/>
              </w:rPr>
              <w:t>评价</w:t>
            </w:r>
          </w:p>
        </w:tc>
        <w:tc>
          <w:tcPr>
            <w:tcW w:w="877" w:type="dxa"/>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r>
              <w:rPr>
                <w:rFonts w:ascii="Times New Roman" w:hAnsi="Times New Roman"/>
                <w:b/>
                <w:bCs/>
                <w:color w:val="000000" w:themeColor="text1"/>
                <w:sz w:val="24"/>
                <w:szCs w:val="24"/>
              </w:rPr>
              <w:t>得分</w:t>
            </w:r>
          </w:p>
        </w:tc>
        <w:tc>
          <w:tcPr>
            <w:tcW w:w="843" w:type="dxa"/>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r>
              <w:rPr>
                <w:rFonts w:ascii="Times New Roman" w:hAnsi="Times New Roman"/>
                <w:b/>
                <w:bCs/>
                <w:color w:val="000000" w:themeColor="text1"/>
                <w:sz w:val="24"/>
                <w:szCs w:val="24"/>
              </w:rPr>
              <w:t>评价</w:t>
            </w:r>
          </w:p>
        </w:tc>
        <w:tc>
          <w:tcPr>
            <w:tcW w:w="865" w:type="dxa"/>
            <w:vMerge w:val="continue"/>
            <w:tcBorders>
              <w:top w:val="single" w:color="auto" w:sz="12" w:space="0"/>
              <w:bottom w:val="single" w:color="auto" w:sz="12" w:space="0"/>
            </w:tcBorders>
            <w:vAlign w:val="center"/>
          </w:tcPr>
          <w:p>
            <w:pPr>
              <w:widowControl/>
              <w:spacing w:before="0" w:after="0" w:line="240" w:lineRule="auto"/>
              <w:jc w:val="left"/>
              <w:rPr>
                <w:rFonts w:ascii="Times New Roman" w:hAnsi="Times New Roman"/>
                <w:b/>
                <w:bCs/>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540" w:hRule="atLeast"/>
          <w:jc w:val="center"/>
        </w:trPr>
        <w:tc>
          <w:tcPr>
            <w:tcW w:w="776" w:type="dxa"/>
            <w:vMerge w:val="restart"/>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r>
              <w:rPr>
                <w:rFonts w:hint="eastAsia" w:ascii="Times New Roman" w:hAnsi="Times New Roman"/>
                <w:b/>
                <w:bCs/>
                <w:color w:val="000000" w:themeColor="text1"/>
                <w:sz w:val="24"/>
                <w:szCs w:val="24"/>
              </w:rPr>
              <w:t>网点</w:t>
            </w:r>
          </w:p>
          <w:p>
            <w:pPr>
              <w:spacing w:before="0" w:after="0" w:line="240" w:lineRule="auto"/>
              <w:jc w:val="left"/>
              <w:rPr>
                <w:rFonts w:ascii="Times New Roman" w:hAnsi="Times New Roman"/>
                <w:b/>
                <w:bCs/>
                <w:color w:val="000000" w:themeColor="text1"/>
                <w:sz w:val="24"/>
                <w:szCs w:val="24"/>
              </w:rPr>
            </w:pPr>
            <w:r>
              <w:rPr>
                <w:rFonts w:ascii="Times New Roman" w:hAnsi="Times New Roman"/>
                <w:b/>
                <w:bCs/>
                <w:color w:val="000000" w:themeColor="text1"/>
                <w:sz w:val="24"/>
                <w:szCs w:val="24"/>
              </w:rPr>
              <w:t>结构</w:t>
            </w:r>
          </w:p>
        </w:tc>
        <w:tc>
          <w:tcPr>
            <w:tcW w:w="2877"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网点数量</w:t>
            </w:r>
            <w:r>
              <w:rPr>
                <w:rFonts w:ascii="Times New Roman" w:hAnsi="Times New Roman"/>
                <w:color w:val="000000" w:themeColor="text1"/>
                <w:sz w:val="24"/>
                <w:szCs w:val="24"/>
              </w:rPr>
              <w:t>（</w:t>
            </w:r>
            <w:r>
              <w:rPr>
                <w:rFonts w:hint="eastAsia" w:ascii="Times New Roman" w:hAnsi="Times New Roman"/>
                <w:color w:val="000000" w:themeColor="text1"/>
                <w:sz w:val="24"/>
                <w:szCs w:val="24"/>
              </w:rPr>
              <w:t>个</w:t>
            </w:r>
            <w:r>
              <w:rPr>
                <w:rFonts w:ascii="Times New Roman" w:hAnsi="Times New Roman"/>
                <w:color w:val="000000" w:themeColor="text1"/>
                <w:sz w:val="24"/>
                <w:szCs w:val="24"/>
              </w:rPr>
              <w:t>）</w:t>
            </w:r>
          </w:p>
        </w:tc>
        <w:tc>
          <w:tcPr>
            <w:tcW w:w="874" w:type="dxa"/>
            <w:tcBorders>
              <w:top w:val="single" w:color="auto" w:sz="12" w:space="0"/>
              <w:bottom w:val="single" w:color="auto" w:sz="12" w:space="0"/>
            </w:tcBorders>
            <w:vAlign w:val="center"/>
          </w:tcPr>
          <w:p>
            <w:pPr>
              <w:widowControl/>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50</w:t>
            </w:r>
          </w:p>
        </w:tc>
        <w:tc>
          <w:tcPr>
            <w:tcW w:w="707"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right"/>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0.39 </w:t>
            </w:r>
          </w:p>
        </w:tc>
        <w:tc>
          <w:tcPr>
            <w:tcW w:w="851"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较差</w:t>
            </w:r>
          </w:p>
        </w:tc>
        <w:tc>
          <w:tcPr>
            <w:tcW w:w="877" w:type="dxa"/>
            <w:vMerge w:val="restart"/>
            <w:tcBorders>
              <w:top w:val="single" w:color="auto" w:sz="12" w:space="0"/>
              <w:left w:val="single" w:color="auto" w:sz="4" w:space="0"/>
              <w:bottom w:val="single" w:color="auto" w:sz="12" w:space="0"/>
              <w:right w:val="single" w:color="auto" w:sz="4" w:space="0"/>
            </w:tcBorders>
            <w:shd w:val="clear" w:color="auto" w:fill="auto"/>
            <w:vAlign w:val="center"/>
          </w:tcPr>
          <w:p>
            <w:pPr>
              <w:widowControl/>
              <w:spacing w:before="0" w:after="0" w:line="240" w:lineRule="auto"/>
              <w:jc w:val="center"/>
              <w:rPr>
                <w:rFonts w:ascii="宋体" w:hAnsi="宋体"/>
                <w:color w:val="000000" w:themeColor="text1"/>
                <w:kern w:val="0"/>
                <w:sz w:val="22"/>
                <w:szCs w:val="22"/>
              </w:rPr>
            </w:pPr>
            <w:r>
              <w:rPr>
                <w:rFonts w:hint="eastAsia"/>
                <w:color w:val="000000" w:themeColor="text1"/>
                <w:sz w:val="22"/>
                <w:szCs w:val="22"/>
              </w:rPr>
              <w:t xml:space="preserve">0.52 </w:t>
            </w:r>
          </w:p>
        </w:tc>
        <w:tc>
          <w:tcPr>
            <w:tcW w:w="843" w:type="dxa"/>
            <w:vMerge w:val="restart"/>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一般</w:t>
            </w:r>
          </w:p>
        </w:tc>
        <w:tc>
          <w:tcPr>
            <w:tcW w:w="865" w:type="dxa"/>
            <w:vMerge w:val="restart"/>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0.51</w:t>
            </w:r>
          </w:p>
          <w:p>
            <w:pPr>
              <w:spacing w:before="0" w:after="0" w:line="240" w:lineRule="auto"/>
              <w:ind w:left="0" w:firstLine="0"/>
              <w:jc w:val="center"/>
              <w:rPr>
                <w:rFonts w:ascii="Times New Roman" w:hAnsi="Times New Roman"/>
                <w:color w:val="000000" w:themeColor="text1"/>
                <w:sz w:val="24"/>
                <w:szCs w:val="24"/>
              </w:rPr>
            </w:pPr>
          </w:p>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一般</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61" w:hRule="atLeast"/>
          <w:jc w:val="center"/>
        </w:trPr>
        <w:tc>
          <w:tcPr>
            <w:tcW w:w="776"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p>
        </w:tc>
        <w:tc>
          <w:tcPr>
            <w:tcW w:w="2877"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配送线路数量</w:t>
            </w:r>
          </w:p>
        </w:tc>
        <w:tc>
          <w:tcPr>
            <w:tcW w:w="874" w:type="dxa"/>
            <w:tcBorders>
              <w:top w:val="single" w:color="auto" w:sz="12" w:space="0"/>
              <w:bottom w:val="single" w:color="auto" w:sz="12" w:space="0"/>
            </w:tcBorders>
            <w:vAlign w:val="center"/>
          </w:tcPr>
          <w:p>
            <w:pPr>
              <w:widowControl/>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10</w:t>
            </w:r>
          </w:p>
        </w:tc>
        <w:tc>
          <w:tcPr>
            <w:tcW w:w="707"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right"/>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0.71 </w:t>
            </w:r>
          </w:p>
        </w:tc>
        <w:tc>
          <w:tcPr>
            <w:tcW w:w="851"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877"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240" w:lineRule="auto"/>
              <w:ind w:left="0" w:firstLine="0"/>
              <w:jc w:val="center"/>
              <w:rPr>
                <w:rFonts w:ascii="Times New Roman" w:hAnsi="Times New Roman"/>
                <w:color w:val="000000" w:themeColor="text1"/>
                <w:sz w:val="24"/>
                <w:szCs w:val="24"/>
              </w:rPr>
            </w:pPr>
          </w:p>
        </w:tc>
        <w:tc>
          <w:tcPr>
            <w:tcW w:w="843" w:type="dxa"/>
            <w:vMerge w:val="continue"/>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p>
        </w:tc>
        <w:tc>
          <w:tcPr>
            <w:tcW w:w="865" w:type="dxa"/>
            <w:vMerge w:val="continue"/>
            <w:tcBorders>
              <w:top w:val="single" w:color="auto" w:sz="12" w:space="0"/>
              <w:bottom w:val="single" w:color="auto" w:sz="12" w:space="0"/>
            </w:tcBorders>
            <w:vAlign w:val="center"/>
          </w:tcPr>
          <w:p>
            <w:pPr>
              <w:widowControl/>
              <w:spacing w:before="0" w:after="0" w:line="240" w:lineRule="auto"/>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511" w:hRule="atLeast"/>
          <w:jc w:val="center"/>
        </w:trPr>
        <w:tc>
          <w:tcPr>
            <w:tcW w:w="776"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p>
        </w:tc>
        <w:tc>
          <w:tcPr>
            <w:tcW w:w="2877"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密度（</w:t>
            </w:r>
            <w:r>
              <w:rPr>
                <w:rFonts w:hint="eastAsia" w:ascii="Times New Roman" w:hAnsi="Times New Roman"/>
                <w:color w:val="000000" w:themeColor="text1"/>
                <w:sz w:val="24"/>
                <w:szCs w:val="24"/>
              </w:rPr>
              <w:t>个</w:t>
            </w:r>
            <w:r>
              <w:rPr>
                <w:rFonts w:ascii="Times New Roman" w:hAnsi="Times New Roman"/>
                <w:color w:val="000000" w:themeColor="text1"/>
                <w:sz w:val="24"/>
                <w:szCs w:val="24"/>
              </w:rPr>
              <w:t>/km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w:t>
            </w:r>
          </w:p>
        </w:tc>
        <w:tc>
          <w:tcPr>
            <w:tcW w:w="874" w:type="dxa"/>
            <w:tcBorders>
              <w:top w:val="single" w:color="auto" w:sz="12" w:space="0"/>
              <w:bottom w:val="single" w:color="auto" w:sz="12" w:space="0"/>
            </w:tcBorders>
            <w:vAlign w:val="center"/>
          </w:tcPr>
          <w:p>
            <w:pPr>
              <w:widowControl/>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0.25</w:t>
            </w:r>
          </w:p>
        </w:tc>
        <w:tc>
          <w:tcPr>
            <w:tcW w:w="707"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right"/>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0.39 </w:t>
            </w:r>
          </w:p>
        </w:tc>
        <w:tc>
          <w:tcPr>
            <w:tcW w:w="851"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较差</w:t>
            </w:r>
          </w:p>
        </w:tc>
        <w:tc>
          <w:tcPr>
            <w:tcW w:w="877"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240" w:lineRule="auto"/>
              <w:ind w:left="0" w:firstLine="0"/>
              <w:jc w:val="center"/>
              <w:rPr>
                <w:rFonts w:ascii="Times New Roman" w:hAnsi="Times New Roman"/>
                <w:color w:val="000000" w:themeColor="text1"/>
                <w:sz w:val="24"/>
                <w:szCs w:val="24"/>
              </w:rPr>
            </w:pPr>
          </w:p>
        </w:tc>
        <w:tc>
          <w:tcPr>
            <w:tcW w:w="843" w:type="dxa"/>
            <w:vMerge w:val="continue"/>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p>
        </w:tc>
        <w:tc>
          <w:tcPr>
            <w:tcW w:w="865" w:type="dxa"/>
            <w:vMerge w:val="continue"/>
            <w:tcBorders>
              <w:top w:val="single" w:color="auto" w:sz="12" w:space="0"/>
              <w:bottom w:val="single" w:color="auto" w:sz="12" w:space="0"/>
            </w:tcBorders>
            <w:vAlign w:val="center"/>
          </w:tcPr>
          <w:p>
            <w:pPr>
              <w:widowControl/>
              <w:spacing w:before="0" w:after="0" w:line="240" w:lineRule="auto"/>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531" w:hRule="atLeast"/>
          <w:jc w:val="center"/>
        </w:trPr>
        <w:tc>
          <w:tcPr>
            <w:tcW w:w="776" w:type="dxa"/>
            <w:vMerge w:val="restart"/>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r>
              <w:rPr>
                <w:rFonts w:ascii="Times New Roman" w:hAnsi="Times New Roman"/>
                <w:b/>
                <w:bCs/>
                <w:color w:val="000000" w:themeColor="text1"/>
                <w:sz w:val="24"/>
                <w:szCs w:val="24"/>
              </w:rPr>
              <w:t>设施</w:t>
            </w:r>
          </w:p>
          <w:p>
            <w:pPr>
              <w:spacing w:before="0" w:after="0" w:line="240" w:lineRule="auto"/>
              <w:jc w:val="left"/>
              <w:rPr>
                <w:rFonts w:ascii="Times New Roman" w:hAnsi="Times New Roman"/>
                <w:b/>
                <w:bCs/>
                <w:color w:val="000000" w:themeColor="text1"/>
                <w:sz w:val="24"/>
                <w:szCs w:val="24"/>
              </w:rPr>
            </w:pPr>
            <w:r>
              <w:rPr>
                <w:rFonts w:ascii="Times New Roman" w:hAnsi="Times New Roman"/>
                <w:b/>
                <w:bCs/>
                <w:color w:val="000000" w:themeColor="text1"/>
                <w:sz w:val="24"/>
                <w:szCs w:val="24"/>
              </w:rPr>
              <w:t>水平</w:t>
            </w:r>
          </w:p>
        </w:tc>
        <w:tc>
          <w:tcPr>
            <w:tcW w:w="2877"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面积（万平方米）</w:t>
            </w:r>
          </w:p>
        </w:tc>
        <w:tc>
          <w:tcPr>
            <w:tcW w:w="874" w:type="dxa"/>
            <w:tcBorders>
              <w:top w:val="single" w:color="auto" w:sz="12" w:space="0"/>
              <w:bottom w:val="single" w:color="auto" w:sz="12" w:space="0"/>
            </w:tcBorders>
            <w:vAlign w:val="center"/>
          </w:tcPr>
          <w:p>
            <w:pPr>
              <w:widowControl/>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0.1</w:t>
            </w:r>
          </w:p>
        </w:tc>
        <w:tc>
          <w:tcPr>
            <w:tcW w:w="707"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right"/>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0.30 </w:t>
            </w:r>
          </w:p>
        </w:tc>
        <w:tc>
          <w:tcPr>
            <w:tcW w:w="851"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较差</w:t>
            </w:r>
          </w:p>
        </w:tc>
        <w:tc>
          <w:tcPr>
            <w:tcW w:w="877" w:type="dxa"/>
            <w:vMerge w:val="restart"/>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center"/>
              <w:rPr>
                <w:color w:val="000000" w:themeColor="text1"/>
                <w:sz w:val="22"/>
                <w:szCs w:val="22"/>
              </w:rPr>
            </w:pPr>
            <w:r>
              <w:rPr>
                <w:rFonts w:hint="eastAsia"/>
                <w:color w:val="000000" w:themeColor="text1"/>
                <w:sz w:val="22"/>
                <w:szCs w:val="22"/>
              </w:rPr>
              <w:t xml:space="preserve">0.39 </w:t>
            </w:r>
          </w:p>
        </w:tc>
        <w:tc>
          <w:tcPr>
            <w:tcW w:w="843" w:type="dxa"/>
            <w:vMerge w:val="restart"/>
            <w:tcBorders>
              <w:top w:val="single" w:color="auto" w:sz="12" w:space="0"/>
              <w:bottom w:val="single" w:color="auto" w:sz="12" w:space="0"/>
            </w:tcBorders>
            <w:vAlign w:val="center"/>
          </w:tcPr>
          <w:p>
            <w:pPr>
              <w:spacing w:before="0" w:after="0" w:line="240" w:lineRule="auto"/>
              <w:jc w:val="left"/>
              <w:rPr>
                <w:rFonts w:ascii="Times New Roman" w:hAnsi="Times New Roman"/>
                <w:color w:val="000000" w:themeColor="text1"/>
                <w:sz w:val="24"/>
                <w:szCs w:val="24"/>
              </w:rPr>
            </w:pPr>
            <w:r>
              <w:rPr>
                <w:rFonts w:ascii="Times New Roman" w:hAnsi="Times New Roman"/>
                <w:color w:val="000000" w:themeColor="text1"/>
                <w:sz w:val="24"/>
                <w:szCs w:val="24"/>
              </w:rPr>
              <w:t>较差</w:t>
            </w:r>
          </w:p>
        </w:tc>
        <w:tc>
          <w:tcPr>
            <w:tcW w:w="865" w:type="dxa"/>
            <w:vMerge w:val="continue"/>
            <w:tcBorders>
              <w:top w:val="single" w:color="auto" w:sz="12" w:space="0"/>
              <w:bottom w:val="single" w:color="auto" w:sz="12" w:space="0"/>
            </w:tcBorders>
            <w:vAlign w:val="center"/>
          </w:tcPr>
          <w:p>
            <w:pPr>
              <w:widowControl/>
              <w:spacing w:before="0" w:after="0" w:line="240" w:lineRule="auto"/>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97" w:hRule="atLeast"/>
          <w:jc w:val="center"/>
        </w:trPr>
        <w:tc>
          <w:tcPr>
            <w:tcW w:w="776"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p>
        </w:tc>
        <w:tc>
          <w:tcPr>
            <w:tcW w:w="2877"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500米</w:t>
            </w: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覆盖率（%）</w:t>
            </w:r>
          </w:p>
        </w:tc>
        <w:tc>
          <w:tcPr>
            <w:tcW w:w="874" w:type="dxa"/>
            <w:tcBorders>
              <w:top w:val="single" w:color="auto" w:sz="12" w:space="0"/>
              <w:bottom w:val="single" w:color="auto" w:sz="12" w:space="0"/>
            </w:tcBorders>
            <w:vAlign w:val="center"/>
          </w:tcPr>
          <w:p>
            <w:pPr>
              <w:widowControl/>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20</w:t>
            </w:r>
          </w:p>
        </w:tc>
        <w:tc>
          <w:tcPr>
            <w:tcW w:w="707"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right"/>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0.38 </w:t>
            </w:r>
          </w:p>
        </w:tc>
        <w:tc>
          <w:tcPr>
            <w:tcW w:w="851"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较差</w:t>
            </w:r>
          </w:p>
        </w:tc>
        <w:tc>
          <w:tcPr>
            <w:tcW w:w="877"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240" w:lineRule="auto"/>
              <w:jc w:val="left"/>
              <w:rPr>
                <w:rFonts w:ascii="Times New Roman" w:hAnsi="Times New Roman"/>
                <w:bCs/>
                <w:color w:val="000000" w:themeColor="text1"/>
                <w:sz w:val="24"/>
                <w:szCs w:val="24"/>
              </w:rPr>
            </w:pPr>
          </w:p>
        </w:tc>
        <w:tc>
          <w:tcPr>
            <w:tcW w:w="843"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Cs/>
                <w:color w:val="000000" w:themeColor="text1"/>
                <w:sz w:val="24"/>
                <w:szCs w:val="24"/>
              </w:rPr>
            </w:pPr>
          </w:p>
        </w:tc>
        <w:tc>
          <w:tcPr>
            <w:tcW w:w="865" w:type="dxa"/>
            <w:vMerge w:val="continue"/>
            <w:tcBorders>
              <w:top w:val="single" w:color="auto" w:sz="12" w:space="0"/>
              <w:bottom w:val="single" w:color="auto" w:sz="12" w:space="0"/>
            </w:tcBorders>
            <w:vAlign w:val="center"/>
          </w:tcPr>
          <w:p>
            <w:pPr>
              <w:widowControl/>
              <w:spacing w:before="0" w:after="0" w:line="240" w:lineRule="auto"/>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530" w:hRule="atLeast"/>
          <w:jc w:val="center"/>
        </w:trPr>
        <w:tc>
          <w:tcPr>
            <w:tcW w:w="776"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p>
        </w:tc>
        <w:tc>
          <w:tcPr>
            <w:tcW w:w="2877"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物流</w:t>
            </w:r>
            <w:r>
              <w:rPr>
                <w:rFonts w:ascii="Times New Roman" w:hAnsi="Times New Roman"/>
                <w:color w:val="000000" w:themeColor="text1"/>
                <w:sz w:val="24"/>
                <w:szCs w:val="24"/>
              </w:rPr>
              <w:t>场</w:t>
            </w:r>
            <w:r>
              <w:rPr>
                <w:rFonts w:hint="eastAsia" w:ascii="Times New Roman" w:hAnsi="Times New Roman"/>
                <w:color w:val="000000" w:themeColor="text1"/>
                <w:sz w:val="24"/>
                <w:szCs w:val="24"/>
              </w:rPr>
              <w:t>站</w:t>
            </w:r>
            <w:r>
              <w:rPr>
                <w:rFonts w:ascii="Times New Roman" w:hAnsi="Times New Roman"/>
                <w:color w:val="000000" w:themeColor="text1"/>
                <w:sz w:val="24"/>
                <w:szCs w:val="24"/>
              </w:rPr>
              <w:t>面积（万平方米）</w:t>
            </w:r>
          </w:p>
        </w:tc>
        <w:tc>
          <w:tcPr>
            <w:tcW w:w="874" w:type="dxa"/>
            <w:tcBorders>
              <w:top w:val="single" w:color="auto" w:sz="12" w:space="0"/>
              <w:bottom w:val="single" w:color="auto" w:sz="12" w:space="0"/>
            </w:tcBorders>
            <w:vAlign w:val="center"/>
          </w:tcPr>
          <w:p>
            <w:pPr>
              <w:widowControl/>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0.28</w:t>
            </w:r>
          </w:p>
        </w:tc>
        <w:tc>
          <w:tcPr>
            <w:tcW w:w="707"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right"/>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0.48 </w:t>
            </w:r>
          </w:p>
        </w:tc>
        <w:tc>
          <w:tcPr>
            <w:tcW w:w="851"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一般</w:t>
            </w:r>
          </w:p>
        </w:tc>
        <w:tc>
          <w:tcPr>
            <w:tcW w:w="877"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240" w:lineRule="auto"/>
              <w:jc w:val="left"/>
              <w:rPr>
                <w:rFonts w:ascii="Times New Roman" w:hAnsi="Times New Roman"/>
                <w:bCs/>
                <w:color w:val="000000" w:themeColor="text1"/>
                <w:sz w:val="24"/>
                <w:szCs w:val="24"/>
              </w:rPr>
            </w:pPr>
          </w:p>
        </w:tc>
        <w:tc>
          <w:tcPr>
            <w:tcW w:w="843"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Cs/>
                <w:color w:val="000000" w:themeColor="text1"/>
                <w:sz w:val="24"/>
                <w:szCs w:val="24"/>
              </w:rPr>
            </w:pPr>
          </w:p>
        </w:tc>
        <w:tc>
          <w:tcPr>
            <w:tcW w:w="865" w:type="dxa"/>
            <w:vMerge w:val="continue"/>
            <w:tcBorders>
              <w:top w:val="single" w:color="auto" w:sz="12" w:space="0"/>
              <w:bottom w:val="single" w:color="auto" w:sz="12" w:space="0"/>
            </w:tcBorders>
            <w:vAlign w:val="center"/>
          </w:tcPr>
          <w:p>
            <w:pPr>
              <w:widowControl/>
              <w:spacing w:before="0" w:after="0" w:line="240" w:lineRule="auto"/>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55" w:hRule="atLeast"/>
          <w:jc w:val="center"/>
        </w:trPr>
        <w:tc>
          <w:tcPr>
            <w:tcW w:w="776" w:type="dxa"/>
            <w:vMerge w:val="restart"/>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r>
              <w:rPr>
                <w:rFonts w:ascii="Times New Roman" w:hAnsi="Times New Roman"/>
                <w:b/>
                <w:bCs/>
                <w:color w:val="000000" w:themeColor="text1"/>
                <w:sz w:val="24"/>
                <w:szCs w:val="24"/>
              </w:rPr>
              <w:t>服务</w:t>
            </w:r>
          </w:p>
        </w:tc>
        <w:tc>
          <w:tcPr>
            <w:tcW w:w="2877"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平均托运距离</w:t>
            </w:r>
            <w:r>
              <w:rPr>
                <w:rFonts w:ascii="Times New Roman" w:hAnsi="Times New Roman"/>
                <w:color w:val="000000" w:themeColor="text1"/>
                <w:sz w:val="24"/>
                <w:szCs w:val="24"/>
              </w:rPr>
              <w:t>（km）</w:t>
            </w:r>
          </w:p>
        </w:tc>
        <w:tc>
          <w:tcPr>
            <w:tcW w:w="874" w:type="dxa"/>
            <w:tcBorders>
              <w:top w:val="single" w:color="auto" w:sz="12" w:space="0"/>
              <w:bottom w:val="single" w:color="auto" w:sz="12" w:space="0"/>
            </w:tcBorders>
            <w:vAlign w:val="center"/>
          </w:tcPr>
          <w:p>
            <w:pPr>
              <w:widowControl/>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1.15</w:t>
            </w:r>
          </w:p>
        </w:tc>
        <w:tc>
          <w:tcPr>
            <w:tcW w:w="707"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right"/>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0.57 </w:t>
            </w:r>
          </w:p>
        </w:tc>
        <w:tc>
          <w:tcPr>
            <w:tcW w:w="851"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一般</w:t>
            </w:r>
          </w:p>
        </w:tc>
        <w:tc>
          <w:tcPr>
            <w:tcW w:w="877" w:type="dxa"/>
            <w:vMerge w:val="restart"/>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center"/>
              <w:rPr>
                <w:color w:val="000000" w:themeColor="text1"/>
                <w:sz w:val="22"/>
                <w:szCs w:val="22"/>
              </w:rPr>
            </w:pPr>
            <w:r>
              <w:rPr>
                <w:rFonts w:hint="eastAsia"/>
                <w:color w:val="000000" w:themeColor="text1"/>
                <w:sz w:val="22"/>
                <w:szCs w:val="22"/>
              </w:rPr>
              <w:t xml:space="preserve">0.66 </w:t>
            </w:r>
          </w:p>
        </w:tc>
        <w:tc>
          <w:tcPr>
            <w:tcW w:w="843" w:type="dxa"/>
            <w:vMerge w:val="restart"/>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865" w:type="dxa"/>
            <w:vMerge w:val="continue"/>
            <w:tcBorders>
              <w:top w:val="single" w:color="auto" w:sz="12" w:space="0"/>
              <w:bottom w:val="single" w:color="auto" w:sz="12" w:space="0"/>
            </w:tcBorders>
            <w:vAlign w:val="center"/>
          </w:tcPr>
          <w:p>
            <w:pPr>
              <w:widowControl/>
              <w:spacing w:before="0" w:after="0" w:line="240" w:lineRule="auto"/>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74" w:hRule="atLeast"/>
          <w:jc w:val="center"/>
        </w:trPr>
        <w:tc>
          <w:tcPr>
            <w:tcW w:w="776"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
                <w:bCs/>
                <w:color w:val="000000" w:themeColor="text1"/>
                <w:sz w:val="24"/>
                <w:szCs w:val="24"/>
              </w:rPr>
            </w:pPr>
          </w:p>
        </w:tc>
        <w:tc>
          <w:tcPr>
            <w:tcW w:w="2877"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网点设备保障率（%）</w:t>
            </w:r>
          </w:p>
        </w:tc>
        <w:tc>
          <w:tcPr>
            <w:tcW w:w="874" w:type="dxa"/>
            <w:tcBorders>
              <w:top w:val="single" w:color="auto" w:sz="12" w:space="0"/>
              <w:bottom w:val="single" w:color="auto" w:sz="12" w:space="0"/>
            </w:tcBorders>
            <w:vAlign w:val="center"/>
          </w:tcPr>
          <w:p>
            <w:pPr>
              <w:widowControl/>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85</w:t>
            </w:r>
          </w:p>
        </w:tc>
        <w:tc>
          <w:tcPr>
            <w:tcW w:w="707"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240" w:lineRule="auto"/>
              <w:jc w:val="right"/>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0.81 </w:t>
            </w:r>
          </w:p>
        </w:tc>
        <w:tc>
          <w:tcPr>
            <w:tcW w:w="851" w:type="dxa"/>
            <w:tcBorders>
              <w:top w:val="single" w:color="auto" w:sz="12" w:space="0"/>
              <w:bottom w:val="single" w:color="auto" w:sz="12"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877"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240" w:lineRule="auto"/>
              <w:jc w:val="left"/>
              <w:rPr>
                <w:rFonts w:ascii="Times New Roman" w:hAnsi="Times New Roman"/>
                <w:bCs/>
                <w:color w:val="000000" w:themeColor="text1"/>
                <w:sz w:val="24"/>
                <w:szCs w:val="24"/>
              </w:rPr>
            </w:pPr>
          </w:p>
        </w:tc>
        <w:tc>
          <w:tcPr>
            <w:tcW w:w="843"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Cs/>
                <w:color w:val="000000" w:themeColor="text1"/>
                <w:sz w:val="24"/>
                <w:szCs w:val="24"/>
              </w:rPr>
            </w:pPr>
          </w:p>
        </w:tc>
        <w:tc>
          <w:tcPr>
            <w:tcW w:w="865" w:type="dxa"/>
            <w:vMerge w:val="continue"/>
            <w:tcBorders>
              <w:top w:val="single" w:color="auto" w:sz="12" w:space="0"/>
              <w:bottom w:val="single" w:color="auto" w:sz="12" w:space="0"/>
            </w:tcBorders>
            <w:vAlign w:val="center"/>
          </w:tcPr>
          <w:p>
            <w:pPr>
              <w:spacing w:before="0" w:after="0" w:line="240" w:lineRule="auto"/>
              <w:jc w:val="left"/>
              <w:rPr>
                <w:rFonts w:ascii="Times New Roman" w:hAnsi="Times New Roman"/>
                <w:bCs/>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538" w:hRule="atLeast"/>
          <w:jc w:val="center"/>
        </w:trPr>
        <w:tc>
          <w:tcPr>
            <w:tcW w:w="776" w:type="dxa"/>
            <w:vMerge w:val="continue"/>
            <w:tcBorders>
              <w:top w:val="single" w:color="auto" w:sz="12" w:space="0"/>
              <w:bottom w:val="thickThinSmallGap" w:color="auto" w:sz="18" w:space="0"/>
            </w:tcBorders>
            <w:vAlign w:val="center"/>
          </w:tcPr>
          <w:p>
            <w:pPr>
              <w:spacing w:before="0" w:after="0" w:line="240" w:lineRule="auto"/>
              <w:jc w:val="left"/>
              <w:rPr>
                <w:rFonts w:ascii="Times New Roman" w:hAnsi="Times New Roman"/>
                <w:b/>
                <w:bCs/>
                <w:color w:val="000000" w:themeColor="text1"/>
                <w:sz w:val="24"/>
                <w:szCs w:val="24"/>
              </w:rPr>
            </w:pPr>
          </w:p>
        </w:tc>
        <w:tc>
          <w:tcPr>
            <w:tcW w:w="2877" w:type="dxa"/>
            <w:tcBorders>
              <w:top w:val="single" w:color="auto" w:sz="12" w:space="0"/>
              <w:bottom w:val="thickThinSmallGap" w:color="auto" w:sz="18"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平均</w:t>
            </w:r>
            <w:r>
              <w:rPr>
                <w:rFonts w:hint="eastAsia" w:ascii="Times New Roman" w:hAnsi="Times New Roman"/>
                <w:color w:val="000000" w:themeColor="text1"/>
                <w:sz w:val="24"/>
                <w:szCs w:val="24"/>
              </w:rPr>
              <w:t>收发货</w:t>
            </w:r>
            <w:r>
              <w:rPr>
                <w:rFonts w:ascii="Times New Roman" w:hAnsi="Times New Roman"/>
                <w:color w:val="000000" w:themeColor="text1"/>
                <w:sz w:val="24"/>
                <w:szCs w:val="24"/>
              </w:rPr>
              <w:t>时耗（min）</w:t>
            </w:r>
          </w:p>
        </w:tc>
        <w:tc>
          <w:tcPr>
            <w:tcW w:w="874" w:type="dxa"/>
            <w:tcBorders>
              <w:top w:val="single" w:color="auto" w:sz="12" w:space="0"/>
              <w:bottom w:val="thickThinSmallGap" w:color="auto" w:sz="18" w:space="0"/>
            </w:tcBorders>
            <w:vAlign w:val="center"/>
          </w:tcPr>
          <w:p>
            <w:pPr>
              <w:widowControl/>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8</w:t>
            </w:r>
          </w:p>
        </w:tc>
        <w:tc>
          <w:tcPr>
            <w:tcW w:w="707" w:type="dxa"/>
            <w:tcBorders>
              <w:top w:val="single" w:color="auto" w:sz="12" w:space="0"/>
              <w:left w:val="single" w:color="auto" w:sz="4" w:space="0"/>
              <w:bottom w:val="thickThinSmallGap" w:color="auto" w:sz="18" w:space="0"/>
              <w:right w:val="single" w:color="auto" w:sz="4" w:space="0"/>
            </w:tcBorders>
            <w:shd w:val="clear" w:color="auto" w:fill="auto"/>
            <w:vAlign w:val="center"/>
          </w:tcPr>
          <w:p>
            <w:pPr>
              <w:spacing w:before="0" w:after="0" w:line="24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0.71 </w:t>
            </w:r>
          </w:p>
        </w:tc>
        <w:tc>
          <w:tcPr>
            <w:tcW w:w="851" w:type="dxa"/>
            <w:tcBorders>
              <w:top w:val="single" w:color="auto" w:sz="12" w:space="0"/>
              <w:bottom w:val="thickThinSmallGap" w:color="auto" w:sz="18" w:space="0"/>
            </w:tcBorders>
            <w:vAlign w:val="center"/>
          </w:tcPr>
          <w:p>
            <w:pPr>
              <w:spacing w:before="0" w:after="0" w:line="24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877" w:type="dxa"/>
            <w:vMerge w:val="continue"/>
            <w:tcBorders>
              <w:top w:val="single" w:color="auto" w:sz="12" w:space="0"/>
              <w:left w:val="single" w:color="auto" w:sz="4" w:space="0"/>
              <w:bottom w:val="thickThinSmallGap" w:color="auto" w:sz="18" w:space="0"/>
              <w:right w:val="single" w:color="auto" w:sz="4" w:space="0"/>
            </w:tcBorders>
            <w:vAlign w:val="center"/>
          </w:tcPr>
          <w:p>
            <w:pPr>
              <w:spacing w:before="0" w:after="0" w:line="240" w:lineRule="auto"/>
              <w:jc w:val="left"/>
              <w:rPr>
                <w:rFonts w:ascii="Times New Roman" w:hAnsi="Times New Roman"/>
                <w:bCs/>
                <w:color w:val="000000" w:themeColor="text1"/>
                <w:sz w:val="24"/>
                <w:szCs w:val="24"/>
              </w:rPr>
            </w:pPr>
          </w:p>
        </w:tc>
        <w:tc>
          <w:tcPr>
            <w:tcW w:w="843" w:type="dxa"/>
            <w:vMerge w:val="continue"/>
            <w:tcBorders>
              <w:top w:val="single" w:color="auto" w:sz="12" w:space="0"/>
              <w:bottom w:val="thickThinSmallGap" w:color="auto" w:sz="18" w:space="0"/>
            </w:tcBorders>
            <w:vAlign w:val="center"/>
          </w:tcPr>
          <w:p>
            <w:pPr>
              <w:spacing w:before="0" w:after="0" w:line="240" w:lineRule="auto"/>
              <w:jc w:val="left"/>
              <w:rPr>
                <w:rFonts w:ascii="Times New Roman" w:hAnsi="Times New Roman"/>
                <w:bCs/>
                <w:color w:val="000000" w:themeColor="text1"/>
                <w:sz w:val="24"/>
                <w:szCs w:val="24"/>
              </w:rPr>
            </w:pPr>
          </w:p>
        </w:tc>
        <w:tc>
          <w:tcPr>
            <w:tcW w:w="865" w:type="dxa"/>
            <w:vMerge w:val="continue"/>
            <w:tcBorders>
              <w:top w:val="single" w:color="auto" w:sz="12" w:space="0"/>
              <w:bottom w:val="thickThinSmallGap" w:color="auto" w:sz="18" w:space="0"/>
            </w:tcBorders>
            <w:vAlign w:val="center"/>
          </w:tcPr>
          <w:p>
            <w:pPr>
              <w:spacing w:before="0" w:after="0" w:line="240" w:lineRule="auto"/>
              <w:jc w:val="left"/>
              <w:rPr>
                <w:rFonts w:ascii="Times New Roman" w:hAnsi="Times New Roman"/>
                <w:bCs/>
                <w:color w:val="000000" w:themeColor="text1"/>
                <w:sz w:val="24"/>
                <w:szCs w:val="24"/>
              </w:rPr>
            </w:pPr>
          </w:p>
        </w:tc>
      </w:tr>
    </w:tbl>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由上表可见，泉州台商投资区现状</w:t>
      </w:r>
      <w:r>
        <w:rPr>
          <w:rFonts w:hint="eastAsia"/>
          <w:color w:val="000000" w:themeColor="text1"/>
          <w:kern w:val="0"/>
          <w:sz w:val="28"/>
        </w:rPr>
        <w:t>农村物流网络</w:t>
      </w:r>
      <w:r>
        <w:rPr>
          <w:color w:val="000000" w:themeColor="text1"/>
          <w:kern w:val="0"/>
          <w:sz w:val="28"/>
        </w:rPr>
        <w:t>存在诸多需要改进的方面，如</w:t>
      </w:r>
      <w:r>
        <w:rPr>
          <w:rFonts w:hint="eastAsia"/>
          <w:color w:val="000000" w:themeColor="text1"/>
          <w:kern w:val="0"/>
          <w:sz w:val="28"/>
        </w:rPr>
        <w:t>村级物流网点</w:t>
      </w:r>
      <w:r>
        <w:rPr>
          <w:color w:val="000000" w:themeColor="text1"/>
          <w:kern w:val="0"/>
          <w:sz w:val="28"/>
        </w:rPr>
        <w:t>的</w:t>
      </w:r>
      <w:r>
        <w:rPr>
          <w:rFonts w:hint="eastAsia"/>
          <w:color w:val="000000" w:themeColor="text1"/>
          <w:kern w:val="0"/>
          <w:sz w:val="28"/>
        </w:rPr>
        <w:t>较少</w:t>
      </w:r>
      <w:r>
        <w:rPr>
          <w:color w:val="000000" w:themeColor="text1"/>
          <w:kern w:val="0"/>
          <w:sz w:val="28"/>
        </w:rPr>
        <w:t>，表明</w:t>
      </w:r>
      <w:r>
        <w:rPr>
          <w:rFonts w:hint="eastAsia"/>
          <w:color w:val="000000" w:themeColor="text1"/>
          <w:kern w:val="0"/>
          <w:sz w:val="28"/>
        </w:rPr>
        <w:t>农村物流服务较差</w:t>
      </w:r>
      <w:r>
        <w:rPr>
          <w:color w:val="000000" w:themeColor="text1"/>
          <w:kern w:val="0"/>
          <w:sz w:val="28"/>
        </w:rPr>
        <w:t>；</w:t>
      </w:r>
      <w:r>
        <w:rPr>
          <w:rFonts w:hint="eastAsia"/>
          <w:color w:val="000000" w:themeColor="text1"/>
          <w:kern w:val="0"/>
          <w:sz w:val="28"/>
        </w:rPr>
        <w:t>网点</w:t>
      </w:r>
      <w:r>
        <w:rPr>
          <w:color w:val="000000" w:themeColor="text1"/>
          <w:kern w:val="0"/>
          <w:sz w:val="28"/>
        </w:rPr>
        <w:t>密度过低，表明</w:t>
      </w:r>
      <w:r>
        <w:rPr>
          <w:rFonts w:hint="eastAsia"/>
          <w:color w:val="000000" w:themeColor="text1"/>
          <w:kern w:val="0"/>
          <w:sz w:val="28"/>
        </w:rPr>
        <w:t>物流服务</w:t>
      </w:r>
      <w:r>
        <w:rPr>
          <w:color w:val="000000" w:themeColor="text1"/>
          <w:kern w:val="0"/>
          <w:sz w:val="28"/>
        </w:rPr>
        <w:t>覆盖率较低；</w:t>
      </w:r>
      <w:r>
        <w:rPr>
          <w:rFonts w:hint="eastAsia"/>
          <w:color w:val="000000" w:themeColor="text1"/>
          <w:kern w:val="0"/>
          <w:sz w:val="28"/>
        </w:rPr>
        <w:t>物流场站</w:t>
      </w:r>
      <w:r>
        <w:rPr>
          <w:color w:val="000000" w:themeColor="text1"/>
          <w:kern w:val="0"/>
          <w:sz w:val="28"/>
        </w:rPr>
        <w:t>面积严重不足，</w:t>
      </w:r>
      <w:r>
        <w:rPr>
          <w:rFonts w:hint="eastAsia"/>
          <w:color w:val="000000" w:themeColor="text1"/>
          <w:kern w:val="0"/>
          <w:sz w:val="28"/>
        </w:rPr>
        <w:t>平均托运距离过长</w:t>
      </w:r>
      <w:r>
        <w:rPr>
          <w:color w:val="000000" w:themeColor="text1"/>
          <w:kern w:val="0"/>
          <w:sz w:val="28"/>
        </w:rPr>
        <w:t>严重影响了</w:t>
      </w:r>
      <w:r>
        <w:rPr>
          <w:rFonts w:hint="eastAsia"/>
          <w:color w:val="000000" w:themeColor="text1"/>
          <w:kern w:val="0"/>
          <w:sz w:val="28"/>
        </w:rPr>
        <w:t>物流</w:t>
      </w:r>
      <w:r>
        <w:rPr>
          <w:color w:val="000000" w:themeColor="text1"/>
          <w:kern w:val="0"/>
          <w:sz w:val="28"/>
        </w:rPr>
        <w:t>的畅通度及泉州台商投资区的整体形象，降低了</w:t>
      </w:r>
      <w:r>
        <w:rPr>
          <w:rFonts w:hint="eastAsia"/>
          <w:color w:val="000000" w:themeColor="text1"/>
          <w:kern w:val="0"/>
          <w:sz w:val="28"/>
        </w:rPr>
        <w:t>物流</w:t>
      </w:r>
      <w:r>
        <w:rPr>
          <w:color w:val="000000" w:themeColor="text1"/>
          <w:kern w:val="0"/>
          <w:sz w:val="28"/>
        </w:rPr>
        <w:t>的</w:t>
      </w:r>
      <w:r>
        <w:rPr>
          <w:rFonts w:hint="eastAsia"/>
          <w:color w:val="000000" w:themeColor="text1"/>
          <w:kern w:val="0"/>
          <w:sz w:val="28"/>
        </w:rPr>
        <w:t>服务水平</w:t>
      </w:r>
      <w:r>
        <w:rPr>
          <w:color w:val="000000" w:themeColor="text1"/>
          <w:kern w:val="0"/>
          <w:sz w:val="28"/>
        </w:rPr>
        <w:t>。</w:t>
      </w:r>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2.2.2</w:t>
      </w:r>
      <w:r>
        <w:rPr>
          <w:rFonts w:eastAsia="黑体"/>
          <w:bCs/>
          <w:color w:val="000000" w:themeColor="text1"/>
          <w:sz w:val="30"/>
          <w:szCs w:val="30"/>
          <w:lang w:bidi="en-US"/>
        </w:rPr>
        <w:t>近期</w:t>
      </w:r>
      <w:r>
        <w:rPr>
          <w:rFonts w:hint="eastAsia" w:eastAsia="黑体"/>
          <w:bCs/>
          <w:color w:val="000000" w:themeColor="text1"/>
          <w:sz w:val="30"/>
          <w:szCs w:val="30"/>
          <w:lang w:bidi="en-US"/>
        </w:rPr>
        <w:t>农村物流网络体系</w:t>
      </w:r>
      <w:r>
        <w:rPr>
          <w:rFonts w:eastAsia="黑体"/>
          <w:bCs/>
          <w:color w:val="000000" w:themeColor="text1"/>
          <w:sz w:val="30"/>
          <w:szCs w:val="30"/>
          <w:lang w:bidi="en-US"/>
        </w:rPr>
        <w:t>规划评价及分析</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按照上述评价指标体系，计算</w:t>
      </w:r>
      <w:r>
        <w:rPr>
          <w:rFonts w:hint="eastAsia"/>
          <w:color w:val="000000" w:themeColor="text1"/>
          <w:kern w:val="0"/>
          <w:sz w:val="28"/>
        </w:rPr>
        <w:t>农村物流网络体系</w:t>
      </w:r>
      <w:r>
        <w:rPr>
          <w:color w:val="000000" w:themeColor="text1"/>
          <w:kern w:val="0"/>
          <w:sz w:val="28"/>
        </w:rPr>
        <w:t>近期规划评价指标如</w:t>
      </w:r>
      <w:r>
        <w:rPr>
          <w:rFonts w:ascii="Times New Roman" w:hAnsi="Times New Roman"/>
          <w:b/>
          <w:color w:val="000000" w:themeColor="text1"/>
          <w:sz w:val="24"/>
          <w:szCs w:val="24"/>
        </w:rPr>
        <w:t>表</w:t>
      </w:r>
      <w:r>
        <w:rPr>
          <w:rFonts w:hint="eastAsia" w:ascii="Times New Roman" w:hAnsi="Times New Roman"/>
          <w:b/>
          <w:color w:val="000000" w:themeColor="text1"/>
          <w:sz w:val="24"/>
          <w:szCs w:val="24"/>
        </w:rPr>
        <w:t>2</w:t>
      </w:r>
      <w:r>
        <w:rPr>
          <w:rFonts w:ascii="Times New Roman" w:hAnsi="Times New Roman"/>
          <w:b/>
          <w:color w:val="000000" w:themeColor="text1"/>
          <w:sz w:val="24"/>
          <w:szCs w:val="24"/>
        </w:rPr>
        <w:noBreakHyphen/>
      </w:r>
      <w:r>
        <w:rPr>
          <w:rFonts w:ascii="Times New Roman" w:hAnsi="Times New Roman"/>
          <w:b/>
          <w:color w:val="000000" w:themeColor="text1"/>
          <w:sz w:val="24"/>
          <w:szCs w:val="24"/>
        </w:rPr>
        <w:fldChar w:fldCharType="begin"/>
      </w:r>
      <w:r>
        <w:rPr>
          <w:rFonts w:ascii="Times New Roman" w:hAnsi="Times New Roman"/>
          <w:b/>
          <w:color w:val="000000" w:themeColor="text1"/>
          <w:sz w:val="24"/>
          <w:szCs w:val="24"/>
        </w:rPr>
        <w:instrText xml:space="preserve"> SEQ 表 \* ARABIC \s 1 </w:instrText>
      </w:r>
      <w:r>
        <w:rPr>
          <w:rFonts w:ascii="Times New Roman" w:hAnsi="Times New Roman"/>
          <w:b/>
          <w:color w:val="000000" w:themeColor="text1"/>
          <w:sz w:val="24"/>
          <w:szCs w:val="24"/>
        </w:rPr>
        <w:fldChar w:fldCharType="separate"/>
      </w:r>
      <w:r>
        <w:rPr>
          <w:rFonts w:ascii="Times New Roman" w:hAnsi="Times New Roman"/>
          <w:b/>
          <w:color w:val="000000" w:themeColor="text1"/>
          <w:sz w:val="24"/>
          <w:szCs w:val="24"/>
        </w:rPr>
        <w:t>4</w:t>
      </w:r>
      <w:r>
        <w:rPr>
          <w:rFonts w:ascii="Times New Roman" w:hAnsi="Times New Roman"/>
          <w:b/>
          <w:color w:val="000000" w:themeColor="text1"/>
          <w:sz w:val="24"/>
          <w:szCs w:val="24"/>
        </w:rPr>
        <w:fldChar w:fldCharType="end"/>
      </w:r>
      <w:r>
        <w:rPr>
          <w:color w:val="000000" w:themeColor="text1"/>
          <w:kern w:val="0"/>
          <w:sz w:val="28"/>
        </w:rPr>
        <w:t>所示。</w:t>
      </w:r>
      <w:bookmarkStart w:id="112" w:name="_Ref334419992"/>
      <w:bookmarkStart w:id="113" w:name="_Toc334639857"/>
      <w:bookmarkStart w:id="114" w:name="_Toc334006135"/>
      <w:bookmarkStart w:id="115" w:name="_Toc470272594"/>
    </w:p>
    <w:p>
      <w:pPr>
        <w:snapToGrid w:val="0"/>
        <w:spacing w:before="0" w:after="0" w:line="360" w:lineRule="auto"/>
        <w:ind w:left="0" w:firstLine="482" w:firstLineChars="200"/>
        <w:jc w:val="center"/>
        <w:rPr>
          <w:rFonts w:ascii="Times New Roman" w:hAnsi="Times New Roman"/>
          <w:b/>
          <w:color w:val="000000" w:themeColor="text1"/>
          <w:sz w:val="24"/>
          <w:szCs w:val="24"/>
        </w:rPr>
      </w:pPr>
      <w:r>
        <w:rPr>
          <w:rFonts w:ascii="Times New Roman" w:hAnsi="Times New Roman"/>
          <w:b/>
          <w:color w:val="000000" w:themeColor="text1"/>
          <w:sz w:val="24"/>
          <w:szCs w:val="24"/>
        </w:rPr>
        <w:t>表</w:t>
      </w:r>
      <w:r>
        <w:rPr>
          <w:rFonts w:hint="eastAsia" w:ascii="Times New Roman" w:hAnsi="Times New Roman"/>
          <w:b/>
          <w:color w:val="000000" w:themeColor="text1"/>
          <w:sz w:val="24"/>
          <w:szCs w:val="24"/>
        </w:rPr>
        <w:t>2</w:t>
      </w:r>
      <w:r>
        <w:rPr>
          <w:rFonts w:ascii="Times New Roman" w:hAnsi="Times New Roman"/>
          <w:b/>
          <w:color w:val="000000" w:themeColor="text1"/>
          <w:sz w:val="24"/>
          <w:szCs w:val="24"/>
        </w:rPr>
        <w:noBreakHyphen/>
      </w:r>
      <w:r>
        <w:rPr>
          <w:rFonts w:ascii="Times New Roman" w:hAnsi="Times New Roman"/>
          <w:b/>
          <w:color w:val="000000" w:themeColor="text1"/>
          <w:sz w:val="24"/>
          <w:szCs w:val="24"/>
        </w:rPr>
        <w:fldChar w:fldCharType="begin"/>
      </w:r>
      <w:r>
        <w:rPr>
          <w:rFonts w:ascii="Times New Roman" w:hAnsi="Times New Roman"/>
          <w:b/>
          <w:color w:val="000000" w:themeColor="text1"/>
          <w:sz w:val="24"/>
          <w:szCs w:val="24"/>
        </w:rPr>
        <w:instrText xml:space="preserve"> SEQ 表 \* ARABIC \s 1 </w:instrText>
      </w:r>
      <w:r>
        <w:rPr>
          <w:rFonts w:ascii="Times New Roman" w:hAnsi="Times New Roman"/>
          <w:b/>
          <w:color w:val="000000" w:themeColor="text1"/>
          <w:sz w:val="24"/>
          <w:szCs w:val="24"/>
        </w:rPr>
        <w:fldChar w:fldCharType="separate"/>
      </w:r>
      <w:r>
        <w:rPr>
          <w:rFonts w:ascii="Times New Roman" w:hAnsi="Times New Roman"/>
          <w:b/>
          <w:color w:val="000000" w:themeColor="text1"/>
          <w:sz w:val="24"/>
          <w:szCs w:val="24"/>
        </w:rPr>
        <w:t>5</w:t>
      </w:r>
      <w:r>
        <w:rPr>
          <w:rFonts w:ascii="Times New Roman" w:hAnsi="Times New Roman"/>
          <w:b/>
          <w:color w:val="000000" w:themeColor="text1"/>
          <w:sz w:val="24"/>
          <w:szCs w:val="24"/>
        </w:rPr>
        <w:fldChar w:fldCharType="end"/>
      </w:r>
      <w:bookmarkEnd w:id="112"/>
      <w:r>
        <w:rPr>
          <w:rFonts w:ascii="Times New Roman" w:hAnsi="Times New Roman"/>
          <w:b/>
          <w:color w:val="000000" w:themeColor="text1"/>
          <w:sz w:val="24"/>
          <w:szCs w:val="24"/>
        </w:rPr>
        <w:t>近期</w:t>
      </w:r>
      <w:r>
        <w:rPr>
          <w:rFonts w:hint="eastAsia" w:ascii="Times New Roman" w:hAnsi="Times New Roman"/>
          <w:b/>
          <w:color w:val="000000" w:themeColor="text1"/>
          <w:sz w:val="24"/>
          <w:szCs w:val="24"/>
        </w:rPr>
        <w:t>农村物流网络体系</w:t>
      </w:r>
      <w:r>
        <w:rPr>
          <w:rFonts w:ascii="Times New Roman" w:hAnsi="Times New Roman"/>
          <w:b/>
          <w:color w:val="000000" w:themeColor="text1"/>
          <w:sz w:val="24"/>
          <w:szCs w:val="24"/>
        </w:rPr>
        <w:t>规划评价结果</w:t>
      </w:r>
      <w:bookmarkEnd w:id="113"/>
      <w:bookmarkEnd w:id="114"/>
      <w:bookmarkEnd w:id="115"/>
    </w:p>
    <w:tbl>
      <w:tblPr>
        <w:tblStyle w:val="18"/>
        <w:tblW w:w="8613"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
      <w:tblGrid>
        <w:gridCol w:w="849"/>
        <w:gridCol w:w="2858"/>
        <w:gridCol w:w="799"/>
        <w:gridCol w:w="898"/>
        <w:gridCol w:w="900"/>
        <w:gridCol w:w="750"/>
        <w:gridCol w:w="709"/>
        <w:gridCol w:w="85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15" w:hRule="atLeast"/>
          <w:jc w:val="center"/>
        </w:trPr>
        <w:tc>
          <w:tcPr>
            <w:tcW w:w="849" w:type="dxa"/>
            <w:vMerge w:val="restart"/>
            <w:tcMar>
              <w:top w:w="0" w:type="dxa"/>
              <w:left w:w="0" w:type="dxa"/>
              <w:bottom w:w="0" w:type="dxa"/>
              <w:right w:w="0" w:type="dxa"/>
            </w:tcMar>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子系统</w:t>
            </w:r>
          </w:p>
        </w:tc>
        <w:tc>
          <w:tcPr>
            <w:tcW w:w="2858" w:type="dxa"/>
            <w:vMerge w:val="restart"/>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指标名称</w:t>
            </w:r>
          </w:p>
        </w:tc>
        <w:tc>
          <w:tcPr>
            <w:tcW w:w="799" w:type="dxa"/>
            <w:vMerge w:val="restart"/>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取值</w:t>
            </w:r>
          </w:p>
        </w:tc>
        <w:tc>
          <w:tcPr>
            <w:tcW w:w="1798" w:type="dxa"/>
            <w:gridSpan w:val="2"/>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指标</w:t>
            </w:r>
          </w:p>
        </w:tc>
        <w:tc>
          <w:tcPr>
            <w:tcW w:w="1459" w:type="dxa"/>
            <w:gridSpan w:val="2"/>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子系统</w:t>
            </w:r>
          </w:p>
        </w:tc>
        <w:tc>
          <w:tcPr>
            <w:tcW w:w="850" w:type="dxa"/>
            <w:vMerge w:val="restart"/>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总评价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57" w:hRule="atLeast"/>
          <w:jc w:val="center"/>
        </w:trPr>
        <w:tc>
          <w:tcPr>
            <w:tcW w:w="849" w:type="dxa"/>
            <w:vMerge w:val="continue"/>
            <w:vAlign w:val="center"/>
          </w:tcPr>
          <w:p>
            <w:pPr>
              <w:spacing w:before="0" w:after="0" w:line="480" w:lineRule="exact"/>
              <w:jc w:val="left"/>
              <w:rPr>
                <w:rFonts w:ascii="Times New Roman" w:hAnsi="Times New Roman"/>
                <w:b/>
                <w:bCs/>
                <w:color w:val="000000" w:themeColor="text1"/>
                <w:sz w:val="24"/>
                <w:szCs w:val="24"/>
              </w:rPr>
            </w:pPr>
          </w:p>
        </w:tc>
        <w:tc>
          <w:tcPr>
            <w:tcW w:w="2858" w:type="dxa"/>
            <w:vMerge w:val="continue"/>
            <w:tcBorders>
              <w:bottom w:val="single" w:color="auto" w:sz="12" w:space="0"/>
            </w:tcBorders>
            <w:vAlign w:val="center"/>
          </w:tcPr>
          <w:p>
            <w:pPr>
              <w:spacing w:before="0" w:after="0" w:line="480" w:lineRule="exact"/>
              <w:jc w:val="left"/>
              <w:rPr>
                <w:rFonts w:ascii="Times New Roman" w:hAnsi="Times New Roman"/>
                <w:b/>
                <w:bCs/>
                <w:color w:val="000000" w:themeColor="text1"/>
                <w:sz w:val="24"/>
                <w:szCs w:val="24"/>
              </w:rPr>
            </w:pPr>
          </w:p>
        </w:tc>
        <w:tc>
          <w:tcPr>
            <w:tcW w:w="799" w:type="dxa"/>
            <w:vMerge w:val="continue"/>
            <w:tcBorders>
              <w:bottom w:val="single" w:color="auto" w:sz="12" w:space="0"/>
            </w:tcBorders>
            <w:vAlign w:val="center"/>
          </w:tcPr>
          <w:p>
            <w:pPr>
              <w:spacing w:before="0" w:after="0" w:line="480" w:lineRule="exact"/>
              <w:jc w:val="left"/>
              <w:rPr>
                <w:rFonts w:ascii="Times New Roman" w:hAnsi="Times New Roman"/>
                <w:bCs/>
                <w:color w:val="000000" w:themeColor="text1"/>
                <w:sz w:val="24"/>
                <w:szCs w:val="24"/>
              </w:rPr>
            </w:pPr>
          </w:p>
        </w:tc>
        <w:tc>
          <w:tcPr>
            <w:tcW w:w="898" w:type="dxa"/>
            <w:tcBorders>
              <w:bottom w:val="single" w:color="auto" w:sz="12" w:space="0"/>
            </w:tcBorders>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得分</w:t>
            </w:r>
          </w:p>
        </w:tc>
        <w:tc>
          <w:tcPr>
            <w:tcW w:w="900" w:type="dxa"/>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评价</w:t>
            </w:r>
          </w:p>
        </w:tc>
        <w:tc>
          <w:tcPr>
            <w:tcW w:w="750" w:type="dxa"/>
            <w:tcBorders>
              <w:bottom w:val="single" w:color="auto" w:sz="12" w:space="0"/>
            </w:tcBorders>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得分</w:t>
            </w:r>
          </w:p>
        </w:tc>
        <w:tc>
          <w:tcPr>
            <w:tcW w:w="709" w:type="dxa"/>
            <w:vAlign w:val="center"/>
          </w:tcPr>
          <w:p>
            <w:pPr>
              <w:spacing w:before="0" w:after="0" w:line="48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评价</w:t>
            </w:r>
          </w:p>
        </w:tc>
        <w:tc>
          <w:tcPr>
            <w:tcW w:w="850" w:type="dxa"/>
            <w:vMerge w:val="continue"/>
            <w:vAlign w:val="center"/>
          </w:tcPr>
          <w:p>
            <w:pPr>
              <w:widowControl/>
              <w:spacing w:before="0" w:after="0" w:line="480" w:lineRule="exact"/>
              <w:jc w:val="left"/>
              <w:rPr>
                <w:rFonts w:ascii="Times New Roman" w:hAnsi="Times New Roman"/>
                <w:b/>
                <w:bCs/>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167" w:hRule="atLeast"/>
          <w:jc w:val="center"/>
        </w:trPr>
        <w:tc>
          <w:tcPr>
            <w:tcW w:w="849" w:type="dxa"/>
            <w:vMerge w:val="restart"/>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p>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结构</w:t>
            </w:r>
          </w:p>
        </w:tc>
        <w:tc>
          <w:tcPr>
            <w:tcW w:w="2858"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网点数量</w:t>
            </w:r>
            <w:r>
              <w:rPr>
                <w:rFonts w:ascii="Times New Roman" w:hAnsi="Times New Roman"/>
                <w:color w:val="000000" w:themeColor="text1"/>
                <w:sz w:val="24"/>
                <w:szCs w:val="24"/>
              </w:rPr>
              <w:t>（</w:t>
            </w:r>
            <w:r>
              <w:rPr>
                <w:rFonts w:hint="eastAsia" w:ascii="Times New Roman" w:hAnsi="Times New Roman"/>
                <w:color w:val="000000" w:themeColor="text1"/>
                <w:sz w:val="24"/>
                <w:szCs w:val="24"/>
              </w:rPr>
              <w:t>个</w:t>
            </w:r>
            <w:r>
              <w:rPr>
                <w:rFonts w:ascii="Times New Roman" w:hAnsi="Times New Roman"/>
                <w:color w:val="000000" w:themeColor="text1"/>
                <w:sz w:val="24"/>
                <w:szCs w:val="24"/>
              </w:rPr>
              <w:t>）</w:t>
            </w:r>
          </w:p>
        </w:tc>
        <w:tc>
          <w:tcPr>
            <w:tcW w:w="799"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78</w:t>
            </w:r>
          </w:p>
        </w:tc>
        <w:tc>
          <w:tcPr>
            <w:tcW w:w="898" w:type="dxa"/>
            <w:tcBorders>
              <w:top w:val="single" w:color="auto" w:sz="12" w:space="0"/>
              <w:left w:val="single" w:color="auto" w:sz="4" w:space="0"/>
              <w:bottom w:val="single" w:color="auto" w:sz="12" w:space="0"/>
              <w:right w:val="single" w:color="auto" w:sz="4" w:space="0"/>
            </w:tcBorders>
            <w:shd w:val="clear" w:color="auto" w:fill="auto"/>
            <w:vAlign w:val="center"/>
          </w:tcPr>
          <w:p>
            <w:pPr>
              <w:widowControl/>
              <w:spacing w:before="0" w:after="0" w:line="480" w:lineRule="exact"/>
              <w:jc w:val="right"/>
              <w:rPr>
                <w:rFonts w:ascii="宋体" w:hAnsi="宋体"/>
                <w:color w:val="000000" w:themeColor="text1"/>
                <w:kern w:val="0"/>
                <w:sz w:val="22"/>
                <w:szCs w:val="22"/>
              </w:rPr>
            </w:pPr>
            <w:r>
              <w:rPr>
                <w:rFonts w:hint="eastAsia"/>
                <w:color w:val="000000" w:themeColor="text1"/>
                <w:sz w:val="22"/>
                <w:szCs w:val="22"/>
              </w:rPr>
              <w:t xml:space="preserve">0.70 </w:t>
            </w:r>
          </w:p>
        </w:tc>
        <w:tc>
          <w:tcPr>
            <w:tcW w:w="900" w:type="dxa"/>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750" w:type="dxa"/>
            <w:vMerge w:val="restart"/>
            <w:tcBorders>
              <w:top w:val="single" w:color="auto" w:sz="12"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olor w:val="000000" w:themeColor="text1"/>
                <w:kern w:val="0"/>
                <w:sz w:val="22"/>
                <w:szCs w:val="22"/>
              </w:rPr>
            </w:pPr>
            <w:r>
              <w:rPr>
                <w:rFonts w:hint="eastAsia"/>
                <w:color w:val="000000" w:themeColor="text1"/>
                <w:sz w:val="22"/>
                <w:szCs w:val="22"/>
              </w:rPr>
              <w:t xml:space="preserve">0.76 </w:t>
            </w:r>
          </w:p>
        </w:tc>
        <w:tc>
          <w:tcPr>
            <w:tcW w:w="709" w:type="dxa"/>
            <w:vMerge w:val="restart"/>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850" w:type="dxa"/>
            <w:vMerge w:val="restart"/>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0.75</w:t>
            </w:r>
          </w:p>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167" w:hRule="atLeast"/>
          <w:jc w:val="center"/>
        </w:trPr>
        <w:tc>
          <w:tcPr>
            <w:tcW w:w="849" w:type="dxa"/>
            <w:vMerge w:val="continue"/>
            <w:vAlign w:val="center"/>
          </w:tcPr>
          <w:p>
            <w:pPr>
              <w:spacing w:before="0" w:after="0" w:line="480" w:lineRule="exact"/>
              <w:ind w:left="0" w:firstLine="0"/>
              <w:jc w:val="center"/>
              <w:rPr>
                <w:rFonts w:ascii="Times New Roman" w:hAnsi="Times New Roman"/>
                <w:color w:val="000000" w:themeColor="text1"/>
                <w:sz w:val="24"/>
                <w:szCs w:val="24"/>
              </w:rPr>
            </w:pPr>
          </w:p>
        </w:tc>
        <w:tc>
          <w:tcPr>
            <w:tcW w:w="2858"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配送线路数量</w:t>
            </w:r>
          </w:p>
        </w:tc>
        <w:tc>
          <w:tcPr>
            <w:tcW w:w="799"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w:t>
            </w:r>
          </w:p>
        </w:tc>
        <w:tc>
          <w:tcPr>
            <w:tcW w:w="898"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480" w:lineRule="exact"/>
              <w:jc w:val="right"/>
              <w:rPr>
                <w:color w:val="000000" w:themeColor="text1"/>
                <w:sz w:val="22"/>
                <w:szCs w:val="22"/>
              </w:rPr>
            </w:pPr>
            <w:r>
              <w:rPr>
                <w:rFonts w:hint="eastAsia"/>
                <w:color w:val="000000" w:themeColor="text1"/>
                <w:sz w:val="22"/>
                <w:szCs w:val="22"/>
              </w:rPr>
              <w:t xml:space="preserve">0.83 </w:t>
            </w:r>
          </w:p>
        </w:tc>
        <w:tc>
          <w:tcPr>
            <w:tcW w:w="900" w:type="dxa"/>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50"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80" w:lineRule="exact"/>
              <w:jc w:val="left"/>
              <w:rPr>
                <w:rFonts w:ascii="Times New Roman" w:hAnsi="Times New Roman"/>
                <w:color w:val="000000" w:themeColor="text1"/>
                <w:sz w:val="24"/>
                <w:szCs w:val="24"/>
              </w:rPr>
            </w:pPr>
          </w:p>
        </w:tc>
        <w:tc>
          <w:tcPr>
            <w:tcW w:w="709" w:type="dxa"/>
            <w:vMerge w:val="continue"/>
            <w:vAlign w:val="center"/>
          </w:tcPr>
          <w:p>
            <w:pPr>
              <w:spacing w:before="0" w:after="0" w:line="480" w:lineRule="exact"/>
              <w:jc w:val="left"/>
              <w:rPr>
                <w:rFonts w:ascii="Times New Roman" w:hAnsi="Times New Roman"/>
                <w:color w:val="000000" w:themeColor="text1"/>
                <w:sz w:val="24"/>
                <w:szCs w:val="24"/>
              </w:rPr>
            </w:pPr>
          </w:p>
        </w:tc>
        <w:tc>
          <w:tcPr>
            <w:tcW w:w="850" w:type="dxa"/>
            <w:vMerge w:val="continue"/>
            <w:vAlign w:val="center"/>
          </w:tcPr>
          <w:p>
            <w:pPr>
              <w:widowControl/>
              <w:spacing w:before="0" w:after="0" w:line="48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167" w:hRule="atLeast"/>
          <w:jc w:val="center"/>
        </w:trPr>
        <w:tc>
          <w:tcPr>
            <w:tcW w:w="849" w:type="dxa"/>
            <w:vMerge w:val="continue"/>
            <w:vAlign w:val="center"/>
          </w:tcPr>
          <w:p>
            <w:pPr>
              <w:spacing w:before="0" w:after="0" w:line="480" w:lineRule="exact"/>
              <w:ind w:left="0" w:firstLine="0"/>
              <w:jc w:val="center"/>
              <w:rPr>
                <w:rFonts w:ascii="Times New Roman" w:hAnsi="Times New Roman"/>
                <w:color w:val="000000" w:themeColor="text1"/>
                <w:sz w:val="24"/>
                <w:szCs w:val="24"/>
              </w:rPr>
            </w:pPr>
          </w:p>
        </w:tc>
        <w:tc>
          <w:tcPr>
            <w:tcW w:w="2858"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密度（</w:t>
            </w:r>
            <w:r>
              <w:rPr>
                <w:rFonts w:hint="eastAsia" w:ascii="Times New Roman" w:hAnsi="Times New Roman"/>
                <w:color w:val="000000" w:themeColor="text1"/>
                <w:sz w:val="24"/>
                <w:szCs w:val="24"/>
              </w:rPr>
              <w:t>个</w:t>
            </w:r>
            <w:r>
              <w:rPr>
                <w:rFonts w:ascii="Times New Roman" w:hAnsi="Times New Roman"/>
                <w:color w:val="000000" w:themeColor="text1"/>
                <w:sz w:val="24"/>
                <w:szCs w:val="24"/>
              </w:rPr>
              <w:t>/km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w:t>
            </w:r>
          </w:p>
        </w:tc>
        <w:tc>
          <w:tcPr>
            <w:tcW w:w="799"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0.39</w:t>
            </w:r>
          </w:p>
        </w:tc>
        <w:tc>
          <w:tcPr>
            <w:tcW w:w="898"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480" w:lineRule="exact"/>
              <w:jc w:val="right"/>
              <w:rPr>
                <w:color w:val="000000" w:themeColor="text1"/>
                <w:sz w:val="22"/>
                <w:szCs w:val="22"/>
              </w:rPr>
            </w:pPr>
            <w:r>
              <w:rPr>
                <w:rFonts w:hint="eastAsia"/>
                <w:color w:val="000000" w:themeColor="text1"/>
                <w:sz w:val="22"/>
                <w:szCs w:val="22"/>
              </w:rPr>
              <w:t xml:space="preserve">0.72 </w:t>
            </w:r>
          </w:p>
        </w:tc>
        <w:tc>
          <w:tcPr>
            <w:tcW w:w="900" w:type="dxa"/>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750"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80" w:lineRule="exact"/>
              <w:jc w:val="left"/>
              <w:rPr>
                <w:rFonts w:ascii="Times New Roman" w:hAnsi="Times New Roman"/>
                <w:color w:val="000000" w:themeColor="text1"/>
                <w:sz w:val="24"/>
                <w:szCs w:val="24"/>
              </w:rPr>
            </w:pPr>
          </w:p>
        </w:tc>
        <w:tc>
          <w:tcPr>
            <w:tcW w:w="709" w:type="dxa"/>
            <w:vMerge w:val="continue"/>
            <w:vAlign w:val="center"/>
          </w:tcPr>
          <w:p>
            <w:pPr>
              <w:spacing w:before="0" w:after="0" w:line="480" w:lineRule="exact"/>
              <w:jc w:val="left"/>
              <w:rPr>
                <w:rFonts w:ascii="Times New Roman" w:hAnsi="Times New Roman"/>
                <w:color w:val="000000" w:themeColor="text1"/>
                <w:sz w:val="24"/>
                <w:szCs w:val="24"/>
              </w:rPr>
            </w:pPr>
          </w:p>
        </w:tc>
        <w:tc>
          <w:tcPr>
            <w:tcW w:w="850" w:type="dxa"/>
            <w:vMerge w:val="continue"/>
            <w:vAlign w:val="center"/>
          </w:tcPr>
          <w:p>
            <w:pPr>
              <w:widowControl/>
              <w:spacing w:before="0" w:after="0" w:line="48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35" w:hRule="atLeast"/>
          <w:jc w:val="center"/>
        </w:trPr>
        <w:tc>
          <w:tcPr>
            <w:tcW w:w="849" w:type="dxa"/>
            <w:vMerge w:val="restart"/>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设施</w:t>
            </w:r>
          </w:p>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水平</w:t>
            </w:r>
          </w:p>
        </w:tc>
        <w:tc>
          <w:tcPr>
            <w:tcW w:w="2858"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面积（万平方米）</w:t>
            </w:r>
          </w:p>
        </w:tc>
        <w:tc>
          <w:tcPr>
            <w:tcW w:w="799"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0.211</w:t>
            </w:r>
          </w:p>
        </w:tc>
        <w:tc>
          <w:tcPr>
            <w:tcW w:w="898"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480" w:lineRule="exact"/>
              <w:jc w:val="right"/>
              <w:rPr>
                <w:color w:val="000000" w:themeColor="text1"/>
                <w:sz w:val="22"/>
                <w:szCs w:val="22"/>
              </w:rPr>
            </w:pPr>
            <w:r>
              <w:rPr>
                <w:rFonts w:hint="eastAsia"/>
                <w:color w:val="000000" w:themeColor="text1"/>
                <w:sz w:val="22"/>
                <w:szCs w:val="22"/>
              </w:rPr>
              <w:t xml:space="preserve">0.78 </w:t>
            </w:r>
          </w:p>
        </w:tc>
        <w:tc>
          <w:tcPr>
            <w:tcW w:w="900" w:type="dxa"/>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750" w:type="dxa"/>
            <w:vMerge w:val="restart"/>
            <w:tcBorders>
              <w:top w:val="single" w:color="auto" w:sz="12" w:space="0"/>
              <w:left w:val="single" w:color="auto" w:sz="4" w:space="0"/>
              <w:bottom w:val="single" w:color="auto" w:sz="12" w:space="0"/>
              <w:right w:val="single" w:color="auto" w:sz="4" w:space="0"/>
            </w:tcBorders>
            <w:shd w:val="clear" w:color="auto" w:fill="auto"/>
            <w:vAlign w:val="center"/>
          </w:tcPr>
          <w:p>
            <w:pPr>
              <w:jc w:val="center"/>
              <w:rPr>
                <w:color w:val="000000" w:themeColor="text1"/>
                <w:sz w:val="22"/>
                <w:szCs w:val="22"/>
              </w:rPr>
            </w:pPr>
            <w:r>
              <w:rPr>
                <w:rFonts w:hint="eastAsia"/>
                <w:color w:val="000000" w:themeColor="text1"/>
                <w:sz w:val="22"/>
                <w:szCs w:val="22"/>
              </w:rPr>
              <w:t xml:space="preserve">0.72 </w:t>
            </w:r>
          </w:p>
        </w:tc>
        <w:tc>
          <w:tcPr>
            <w:tcW w:w="709" w:type="dxa"/>
            <w:vMerge w:val="restart"/>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850" w:type="dxa"/>
            <w:vMerge w:val="continue"/>
            <w:vAlign w:val="center"/>
          </w:tcPr>
          <w:p>
            <w:pPr>
              <w:widowControl/>
              <w:spacing w:before="0" w:after="0" w:line="48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10" w:hRule="atLeast"/>
          <w:jc w:val="center"/>
        </w:trPr>
        <w:tc>
          <w:tcPr>
            <w:tcW w:w="849" w:type="dxa"/>
            <w:vMerge w:val="continue"/>
            <w:vAlign w:val="center"/>
          </w:tcPr>
          <w:p>
            <w:pPr>
              <w:spacing w:before="0" w:after="0" w:line="480" w:lineRule="exact"/>
              <w:ind w:left="0" w:firstLine="0"/>
              <w:jc w:val="center"/>
              <w:rPr>
                <w:rFonts w:ascii="Times New Roman" w:hAnsi="Times New Roman"/>
                <w:color w:val="000000" w:themeColor="text1"/>
                <w:sz w:val="24"/>
                <w:szCs w:val="24"/>
              </w:rPr>
            </w:pPr>
          </w:p>
        </w:tc>
        <w:tc>
          <w:tcPr>
            <w:tcW w:w="2858"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500米</w:t>
            </w: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覆盖率（%）</w:t>
            </w:r>
          </w:p>
        </w:tc>
        <w:tc>
          <w:tcPr>
            <w:tcW w:w="799"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31</w:t>
            </w:r>
          </w:p>
        </w:tc>
        <w:tc>
          <w:tcPr>
            <w:tcW w:w="898"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480" w:lineRule="exact"/>
              <w:jc w:val="right"/>
              <w:rPr>
                <w:color w:val="000000" w:themeColor="text1"/>
                <w:sz w:val="22"/>
                <w:szCs w:val="22"/>
              </w:rPr>
            </w:pPr>
            <w:r>
              <w:rPr>
                <w:rFonts w:hint="eastAsia"/>
                <w:color w:val="000000" w:themeColor="text1"/>
                <w:sz w:val="22"/>
                <w:szCs w:val="22"/>
              </w:rPr>
              <w:t xml:space="preserve">0.70 </w:t>
            </w:r>
          </w:p>
        </w:tc>
        <w:tc>
          <w:tcPr>
            <w:tcW w:w="900" w:type="dxa"/>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750"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80" w:lineRule="exact"/>
              <w:ind w:left="0" w:firstLine="0"/>
              <w:jc w:val="center"/>
              <w:rPr>
                <w:rFonts w:ascii="Times New Roman" w:hAnsi="Times New Roman"/>
                <w:color w:val="000000" w:themeColor="text1"/>
                <w:sz w:val="24"/>
                <w:szCs w:val="24"/>
              </w:rPr>
            </w:pPr>
          </w:p>
        </w:tc>
        <w:tc>
          <w:tcPr>
            <w:tcW w:w="709" w:type="dxa"/>
            <w:vMerge w:val="continue"/>
            <w:vAlign w:val="center"/>
          </w:tcPr>
          <w:p>
            <w:pPr>
              <w:spacing w:before="0" w:after="0" w:line="480" w:lineRule="exact"/>
              <w:ind w:left="0" w:firstLine="0"/>
              <w:jc w:val="center"/>
              <w:rPr>
                <w:rFonts w:ascii="Times New Roman" w:hAnsi="Times New Roman"/>
                <w:color w:val="000000" w:themeColor="text1"/>
                <w:sz w:val="24"/>
                <w:szCs w:val="24"/>
              </w:rPr>
            </w:pPr>
          </w:p>
        </w:tc>
        <w:tc>
          <w:tcPr>
            <w:tcW w:w="850" w:type="dxa"/>
            <w:vMerge w:val="continue"/>
            <w:vAlign w:val="center"/>
          </w:tcPr>
          <w:p>
            <w:pPr>
              <w:widowControl/>
              <w:spacing w:before="0" w:after="0" w:line="480" w:lineRule="exact"/>
              <w:ind w:left="0" w:firstLine="0"/>
              <w:jc w:val="center"/>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15" w:hRule="atLeast"/>
          <w:jc w:val="center"/>
        </w:trPr>
        <w:tc>
          <w:tcPr>
            <w:tcW w:w="849" w:type="dxa"/>
            <w:vMerge w:val="continue"/>
            <w:vAlign w:val="center"/>
          </w:tcPr>
          <w:p>
            <w:pPr>
              <w:spacing w:before="0" w:after="0" w:line="480" w:lineRule="exact"/>
              <w:ind w:left="0" w:firstLine="0"/>
              <w:jc w:val="center"/>
              <w:rPr>
                <w:rFonts w:ascii="Times New Roman" w:hAnsi="Times New Roman"/>
                <w:color w:val="000000" w:themeColor="text1"/>
                <w:sz w:val="24"/>
                <w:szCs w:val="24"/>
              </w:rPr>
            </w:pPr>
          </w:p>
        </w:tc>
        <w:tc>
          <w:tcPr>
            <w:tcW w:w="2858"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物流</w:t>
            </w:r>
            <w:r>
              <w:rPr>
                <w:rFonts w:ascii="Times New Roman" w:hAnsi="Times New Roman"/>
                <w:color w:val="000000" w:themeColor="text1"/>
                <w:sz w:val="24"/>
                <w:szCs w:val="24"/>
              </w:rPr>
              <w:t>场</w:t>
            </w:r>
            <w:r>
              <w:rPr>
                <w:rFonts w:hint="eastAsia" w:ascii="Times New Roman" w:hAnsi="Times New Roman"/>
                <w:color w:val="000000" w:themeColor="text1"/>
                <w:sz w:val="24"/>
                <w:szCs w:val="24"/>
              </w:rPr>
              <w:t>站</w:t>
            </w:r>
            <w:r>
              <w:rPr>
                <w:rFonts w:ascii="Times New Roman" w:hAnsi="Times New Roman"/>
                <w:color w:val="000000" w:themeColor="text1"/>
                <w:sz w:val="24"/>
                <w:szCs w:val="24"/>
              </w:rPr>
              <w:t>面积（万平方米）</w:t>
            </w:r>
          </w:p>
        </w:tc>
        <w:tc>
          <w:tcPr>
            <w:tcW w:w="799"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0.381</w:t>
            </w:r>
          </w:p>
        </w:tc>
        <w:tc>
          <w:tcPr>
            <w:tcW w:w="898"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480" w:lineRule="exact"/>
              <w:jc w:val="right"/>
              <w:rPr>
                <w:color w:val="000000" w:themeColor="text1"/>
                <w:sz w:val="22"/>
                <w:szCs w:val="22"/>
              </w:rPr>
            </w:pPr>
            <w:r>
              <w:rPr>
                <w:rFonts w:hint="eastAsia"/>
                <w:color w:val="000000" w:themeColor="text1"/>
                <w:sz w:val="22"/>
                <w:szCs w:val="22"/>
              </w:rPr>
              <w:t xml:space="preserve">0.71 </w:t>
            </w:r>
          </w:p>
        </w:tc>
        <w:tc>
          <w:tcPr>
            <w:tcW w:w="900" w:type="dxa"/>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750"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80" w:lineRule="exact"/>
              <w:jc w:val="left"/>
              <w:rPr>
                <w:rFonts w:ascii="Times New Roman" w:hAnsi="Times New Roman"/>
                <w:bCs/>
                <w:color w:val="000000" w:themeColor="text1"/>
                <w:sz w:val="24"/>
                <w:szCs w:val="24"/>
              </w:rPr>
            </w:pPr>
          </w:p>
        </w:tc>
        <w:tc>
          <w:tcPr>
            <w:tcW w:w="709" w:type="dxa"/>
            <w:vMerge w:val="continue"/>
            <w:vAlign w:val="center"/>
          </w:tcPr>
          <w:p>
            <w:pPr>
              <w:spacing w:before="0" w:after="0" w:line="480" w:lineRule="exact"/>
              <w:jc w:val="left"/>
              <w:rPr>
                <w:rFonts w:ascii="Times New Roman" w:hAnsi="Times New Roman"/>
                <w:bCs/>
                <w:color w:val="000000" w:themeColor="text1"/>
                <w:sz w:val="24"/>
                <w:szCs w:val="24"/>
              </w:rPr>
            </w:pPr>
          </w:p>
        </w:tc>
        <w:tc>
          <w:tcPr>
            <w:tcW w:w="850" w:type="dxa"/>
            <w:vMerge w:val="continue"/>
            <w:vAlign w:val="center"/>
          </w:tcPr>
          <w:p>
            <w:pPr>
              <w:widowControl/>
              <w:spacing w:before="0" w:after="0" w:line="48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13" w:hRule="atLeast"/>
          <w:jc w:val="center"/>
        </w:trPr>
        <w:tc>
          <w:tcPr>
            <w:tcW w:w="849" w:type="dxa"/>
            <w:vMerge w:val="restart"/>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服务水平</w:t>
            </w:r>
          </w:p>
        </w:tc>
        <w:tc>
          <w:tcPr>
            <w:tcW w:w="2858"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平均托运距离</w:t>
            </w:r>
            <w:r>
              <w:rPr>
                <w:rFonts w:ascii="Times New Roman" w:hAnsi="Times New Roman"/>
                <w:color w:val="000000" w:themeColor="text1"/>
                <w:sz w:val="24"/>
                <w:szCs w:val="24"/>
              </w:rPr>
              <w:t>（km）</w:t>
            </w:r>
          </w:p>
        </w:tc>
        <w:tc>
          <w:tcPr>
            <w:tcW w:w="799"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0.91</w:t>
            </w:r>
          </w:p>
        </w:tc>
        <w:tc>
          <w:tcPr>
            <w:tcW w:w="898"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480" w:lineRule="exact"/>
              <w:jc w:val="right"/>
              <w:rPr>
                <w:color w:val="000000" w:themeColor="text1"/>
                <w:sz w:val="22"/>
                <w:szCs w:val="22"/>
              </w:rPr>
            </w:pPr>
            <w:r>
              <w:rPr>
                <w:rFonts w:hint="eastAsia"/>
                <w:color w:val="000000" w:themeColor="text1"/>
                <w:sz w:val="22"/>
                <w:szCs w:val="22"/>
              </w:rPr>
              <w:t xml:space="preserve">0.72 </w:t>
            </w:r>
          </w:p>
        </w:tc>
        <w:tc>
          <w:tcPr>
            <w:tcW w:w="900" w:type="dxa"/>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750" w:type="dxa"/>
            <w:vMerge w:val="restart"/>
            <w:tcBorders>
              <w:top w:val="single" w:color="auto" w:sz="12" w:space="0"/>
              <w:left w:val="single" w:color="auto" w:sz="4" w:space="0"/>
              <w:bottom w:val="single" w:color="auto" w:sz="12" w:space="0"/>
              <w:right w:val="single" w:color="auto" w:sz="4" w:space="0"/>
            </w:tcBorders>
            <w:shd w:val="clear" w:color="auto" w:fill="auto"/>
            <w:vAlign w:val="center"/>
          </w:tcPr>
          <w:p>
            <w:pPr>
              <w:jc w:val="center"/>
              <w:rPr>
                <w:color w:val="000000" w:themeColor="text1"/>
                <w:sz w:val="22"/>
                <w:szCs w:val="22"/>
              </w:rPr>
            </w:pPr>
            <w:r>
              <w:rPr>
                <w:rFonts w:hint="eastAsia"/>
                <w:color w:val="000000" w:themeColor="text1"/>
                <w:sz w:val="22"/>
                <w:szCs w:val="22"/>
              </w:rPr>
              <w:t xml:space="preserve">0.77 </w:t>
            </w:r>
          </w:p>
        </w:tc>
        <w:tc>
          <w:tcPr>
            <w:tcW w:w="709" w:type="dxa"/>
            <w:vMerge w:val="restart"/>
            <w:vAlign w:val="center"/>
          </w:tcPr>
          <w:p>
            <w:pPr>
              <w:spacing w:before="0" w:after="0" w:line="480" w:lineRule="exact"/>
              <w:jc w:val="left"/>
              <w:rPr>
                <w:rFonts w:ascii="Times New Roman" w:hAnsi="Times New Roman"/>
                <w:color w:val="000000" w:themeColor="text1"/>
                <w:sz w:val="24"/>
                <w:szCs w:val="24"/>
              </w:rPr>
            </w:pPr>
            <w:r>
              <w:rPr>
                <w:rFonts w:ascii="Times New Roman" w:hAnsi="Times New Roman"/>
                <w:color w:val="000000" w:themeColor="text1"/>
                <w:sz w:val="24"/>
                <w:szCs w:val="24"/>
              </w:rPr>
              <w:t>较好</w:t>
            </w:r>
          </w:p>
        </w:tc>
        <w:tc>
          <w:tcPr>
            <w:tcW w:w="850" w:type="dxa"/>
            <w:vMerge w:val="continue"/>
            <w:vAlign w:val="center"/>
          </w:tcPr>
          <w:p>
            <w:pPr>
              <w:widowControl/>
              <w:spacing w:before="0" w:after="0" w:line="48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630" w:hRule="atLeast"/>
          <w:jc w:val="center"/>
        </w:trPr>
        <w:tc>
          <w:tcPr>
            <w:tcW w:w="849" w:type="dxa"/>
            <w:vMerge w:val="continue"/>
            <w:vAlign w:val="center"/>
          </w:tcPr>
          <w:p>
            <w:pPr>
              <w:spacing w:before="0" w:after="0" w:line="480" w:lineRule="exact"/>
              <w:ind w:left="0" w:firstLine="0"/>
              <w:jc w:val="center"/>
              <w:rPr>
                <w:rFonts w:ascii="Times New Roman" w:hAnsi="Times New Roman"/>
                <w:color w:val="000000" w:themeColor="text1"/>
                <w:sz w:val="24"/>
                <w:szCs w:val="24"/>
              </w:rPr>
            </w:pPr>
          </w:p>
        </w:tc>
        <w:tc>
          <w:tcPr>
            <w:tcW w:w="2858"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网点设备保障率（%）</w:t>
            </w:r>
          </w:p>
        </w:tc>
        <w:tc>
          <w:tcPr>
            <w:tcW w:w="799" w:type="dxa"/>
            <w:tcBorders>
              <w:top w:val="single" w:color="auto" w:sz="12" w:space="0"/>
              <w:bottom w:val="single" w:color="auto" w:sz="12"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90</w:t>
            </w:r>
          </w:p>
        </w:tc>
        <w:tc>
          <w:tcPr>
            <w:tcW w:w="898" w:type="dxa"/>
            <w:tcBorders>
              <w:top w:val="single" w:color="auto" w:sz="12" w:space="0"/>
              <w:left w:val="single" w:color="auto" w:sz="4" w:space="0"/>
              <w:bottom w:val="single" w:color="auto" w:sz="12" w:space="0"/>
              <w:right w:val="single" w:color="auto" w:sz="4" w:space="0"/>
            </w:tcBorders>
            <w:shd w:val="clear" w:color="auto" w:fill="auto"/>
            <w:vAlign w:val="center"/>
          </w:tcPr>
          <w:p>
            <w:pPr>
              <w:spacing w:before="0" w:after="0" w:line="480" w:lineRule="exact"/>
              <w:jc w:val="right"/>
              <w:rPr>
                <w:color w:val="000000" w:themeColor="text1"/>
                <w:sz w:val="22"/>
                <w:szCs w:val="22"/>
              </w:rPr>
            </w:pPr>
            <w:r>
              <w:rPr>
                <w:rFonts w:hint="eastAsia"/>
                <w:color w:val="000000" w:themeColor="text1"/>
                <w:sz w:val="22"/>
                <w:szCs w:val="22"/>
              </w:rPr>
              <w:t xml:space="preserve">0.85 </w:t>
            </w:r>
          </w:p>
        </w:tc>
        <w:tc>
          <w:tcPr>
            <w:tcW w:w="900" w:type="dxa"/>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50"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80" w:lineRule="exact"/>
              <w:jc w:val="left"/>
              <w:rPr>
                <w:rFonts w:ascii="Times New Roman" w:hAnsi="Times New Roman"/>
                <w:bCs/>
                <w:color w:val="000000" w:themeColor="text1"/>
                <w:sz w:val="24"/>
                <w:szCs w:val="24"/>
              </w:rPr>
            </w:pPr>
          </w:p>
        </w:tc>
        <w:tc>
          <w:tcPr>
            <w:tcW w:w="709" w:type="dxa"/>
            <w:vMerge w:val="continue"/>
            <w:vAlign w:val="center"/>
          </w:tcPr>
          <w:p>
            <w:pPr>
              <w:spacing w:before="0" w:after="0" w:line="480" w:lineRule="exact"/>
              <w:jc w:val="left"/>
              <w:rPr>
                <w:rFonts w:ascii="Times New Roman" w:hAnsi="Times New Roman"/>
                <w:bCs/>
                <w:color w:val="000000" w:themeColor="text1"/>
                <w:sz w:val="24"/>
                <w:szCs w:val="24"/>
              </w:rPr>
            </w:pPr>
          </w:p>
        </w:tc>
        <w:tc>
          <w:tcPr>
            <w:tcW w:w="850" w:type="dxa"/>
            <w:vMerge w:val="continue"/>
            <w:vAlign w:val="center"/>
          </w:tcPr>
          <w:p>
            <w:pPr>
              <w:spacing w:before="0" w:after="0" w:line="480" w:lineRule="exact"/>
              <w:jc w:val="left"/>
              <w:rPr>
                <w:rFonts w:ascii="Times New Roman" w:hAnsi="Times New Roman"/>
                <w:bCs/>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26" w:hRule="atLeast"/>
          <w:jc w:val="center"/>
        </w:trPr>
        <w:tc>
          <w:tcPr>
            <w:tcW w:w="849" w:type="dxa"/>
            <w:vMerge w:val="continue"/>
            <w:tcBorders>
              <w:bottom w:val="thickThinSmallGap" w:color="auto" w:sz="18" w:space="0"/>
            </w:tcBorders>
            <w:vAlign w:val="center"/>
          </w:tcPr>
          <w:p>
            <w:pPr>
              <w:spacing w:before="0" w:after="0" w:line="480" w:lineRule="exact"/>
              <w:ind w:left="0" w:firstLine="0"/>
              <w:jc w:val="center"/>
              <w:rPr>
                <w:rFonts w:ascii="Times New Roman" w:hAnsi="Times New Roman"/>
                <w:color w:val="000000" w:themeColor="text1"/>
                <w:sz w:val="24"/>
                <w:szCs w:val="24"/>
              </w:rPr>
            </w:pPr>
          </w:p>
        </w:tc>
        <w:tc>
          <w:tcPr>
            <w:tcW w:w="2858" w:type="dxa"/>
            <w:tcBorders>
              <w:top w:val="single" w:color="auto" w:sz="12" w:space="0"/>
              <w:bottom w:val="thickThinSmallGap" w:color="auto" w:sz="18"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平均</w:t>
            </w:r>
            <w:r>
              <w:rPr>
                <w:rFonts w:hint="eastAsia" w:ascii="Times New Roman" w:hAnsi="Times New Roman"/>
                <w:color w:val="000000" w:themeColor="text1"/>
                <w:sz w:val="24"/>
                <w:szCs w:val="24"/>
              </w:rPr>
              <w:t>收发货</w:t>
            </w:r>
            <w:r>
              <w:rPr>
                <w:rFonts w:ascii="Times New Roman" w:hAnsi="Times New Roman"/>
                <w:color w:val="000000" w:themeColor="text1"/>
                <w:sz w:val="24"/>
                <w:szCs w:val="24"/>
              </w:rPr>
              <w:t>时耗（min）</w:t>
            </w:r>
          </w:p>
        </w:tc>
        <w:tc>
          <w:tcPr>
            <w:tcW w:w="799" w:type="dxa"/>
            <w:tcBorders>
              <w:top w:val="single" w:color="auto" w:sz="12" w:space="0"/>
              <w:bottom w:val="thickThinSmallGap" w:color="auto" w:sz="18"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7</w:t>
            </w:r>
          </w:p>
        </w:tc>
        <w:tc>
          <w:tcPr>
            <w:tcW w:w="898" w:type="dxa"/>
            <w:tcBorders>
              <w:top w:val="single" w:color="auto" w:sz="12" w:space="0"/>
              <w:left w:val="single" w:color="auto" w:sz="4" w:space="0"/>
              <w:bottom w:val="thickThinSmallGap" w:color="auto" w:sz="18" w:space="0"/>
              <w:right w:val="single" w:color="auto" w:sz="4" w:space="0"/>
            </w:tcBorders>
            <w:shd w:val="clear" w:color="auto" w:fill="auto"/>
            <w:vAlign w:val="center"/>
          </w:tcPr>
          <w:p>
            <w:pPr>
              <w:spacing w:before="0" w:after="0" w:line="480" w:lineRule="exact"/>
              <w:jc w:val="right"/>
              <w:rPr>
                <w:color w:val="000000" w:themeColor="text1"/>
                <w:sz w:val="22"/>
                <w:szCs w:val="22"/>
              </w:rPr>
            </w:pPr>
            <w:r>
              <w:rPr>
                <w:rFonts w:hint="eastAsia"/>
                <w:color w:val="000000" w:themeColor="text1"/>
                <w:sz w:val="22"/>
                <w:szCs w:val="22"/>
              </w:rPr>
              <w:t xml:space="preserve">0.81 </w:t>
            </w:r>
          </w:p>
        </w:tc>
        <w:tc>
          <w:tcPr>
            <w:tcW w:w="900" w:type="dxa"/>
            <w:tcBorders>
              <w:bottom w:val="thickThinSmallGap" w:color="auto" w:sz="18" w:space="0"/>
            </w:tcBorders>
            <w:vAlign w:val="center"/>
          </w:tcPr>
          <w:p>
            <w:pPr>
              <w:spacing w:before="0" w:after="0" w:line="48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50" w:type="dxa"/>
            <w:vMerge w:val="continue"/>
            <w:tcBorders>
              <w:top w:val="single" w:color="auto" w:sz="12" w:space="0"/>
              <w:left w:val="single" w:color="auto" w:sz="4" w:space="0"/>
              <w:bottom w:val="thickThinSmallGap" w:color="auto" w:sz="18" w:space="0"/>
              <w:right w:val="single" w:color="auto" w:sz="4" w:space="0"/>
            </w:tcBorders>
            <w:vAlign w:val="center"/>
          </w:tcPr>
          <w:p>
            <w:pPr>
              <w:spacing w:before="0" w:after="0" w:line="480" w:lineRule="exact"/>
              <w:jc w:val="left"/>
              <w:rPr>
                <w:rFonts w:ascii="Times New Roman" w:hAnsi="Times New Roman"/>
                <w:bCs/>
                <w:color w:val="000000" w:themeColor="text1"/>
                <w:sz w:val="24"/>
                <w:szCs w:val="24"/>
              </w:rPr>
            </w:pPr>
          </w:p>
        </w:tc>
        <w:tc>
          <w:tcPr>
            <w:tcW w:w="709" w:type="dxa"/>
            <w:vMerge w:val="continue"/>
            <w:vAlign w:val="center"/>
          </w:tcPr>
          <w:p>
            <w:pPr>
              <w:spacing w:before="0" w:after="0" w:line="480" w:lineRule="exact"/>
              <w:jc w:val="left"/>
              <w:rPr>
                <w:rFonts w:ascii="Times New Roman" w:hAnsi="Times New Roman"/>
                <w:bCs/>
                <w:color w:val="000000" w:themeColor="text1"/>
                <w:sz w:val="24"/>
                <w:szCs w:val="24"/>
              </w:rPr>
            </w:pPr>
          </w:p>
        </w:tc>
        <w:tc>
          <w:tcPr>
            <w:tcW w:w="850" w:type="dxa"/>
            <w:vMerge w:val="continue"/>
            <w:vAlign w:val="center"/>
          </w:tcPr>
          <w:p>
            <w:pPr>
              <w:spacing w:before="0" w:after="0" w:line="480" w:lineRule="exact"/>
              <w:jc w:val="left"/>
              <w:rPr>
                <w:rFonts w:ascii="Times New Roman" w:hAnsi="Times New Roman"/>
                <w:bCs/>
                <w:color w:val="000000" w:themeColor="text1"/>
                <w:sz w:val="24"/>
                <w:szCs w:val="24"/>
              </w:rPr>
            </w:pPr>
          </w:p>
        </w:tc>
      </w:tr>
    </w:tbl>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由上表可知，泉州台商投资区近期</w:t>
      </w:r>
      <w:r>
        <w:rPr>
          <w:rFonts w:hint="eastAsia"/>
          <w:color w:val="000000" w:themeColor="text1"/>
          <w:kern w:val="0"/>
          <w:sz w:val="28"/>
        </w:rPr>
        <w:t>农村物流网络体系</w:t>
      </w:r>
      <w:r>
        <w:rPr>
          <w:color w:val="000000" w:themeColor="text1"/>
          <w:kern w:val="0"/>
          <w:sz w:val="28"/>
        </w:rPr>
        <w:t>评价结果为“较好”。虽然泉州台商投资区的</w:t>
      </w:r>
      <w:r>
        <w:rPr>
          <w:rFonts w:hint="eastAsia"/>
          <w:color w:val="000000" w:themeColor="text1"/>
          <w:kern w:val="0"/>
          <w:sz w:val="28"/>
        </w:rPr>
        <w:t>农村物流网络建设</w:t>
      </w:r>
      <w:r>
        <w:rPr>
          <w:color w:val="000000" w:themeColor="text1"/>
          <w:kern w:val="0"/>
          <w:sz w:val="28"/>
        </w:rPr>
        <w:t>与</w:t>
      </w:r>
      <w:r>
        <w:rPr>
          <w:rFonts w:hint="eastAsia"/>
          <w:color w:val="000000" w:themeColor="text1"/>
          <w:kern w:val="0"/>
          <w:sz w:val="28"/>
        </w:rPr>
        <w:t>发达</w:t>
      </w:r>
      <w:r>
        <w:rPr>
          <w:color w:val="000000" w:themeColor="text1"/>
          <w:kern w:val="0"/>
          <w:sz w:val="28"/>
        </w:rPr>
        <w:t>城市水平相比还有一定距离，但是在现有居民数量及土地利用、社会经济水平下，已满足社会需求。</w:t>
      </w:r>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2.2.3</w:t>
      </w:r>
      <w:r>
        <w:rPr>
          <w:rFonts w:eastAsia="黑体"/>
          <w:bCs/>
          <w:color w:val="000000" w:themeColor="text1"/>
          <w:sz w:val="30"/>
          <w:szCs w:val="30"/>
          <w:lang w:bidi="en-US"/>
        </w:rPr>
        <w:t>中远期</w:t>
      </w:r>
      <w:r>
        <w:rPr>
          <w:rFonts w:hint="eastAsia" w:eastAsia="黑体"/>
          <w:bCs/>
          <w:color w:val="000000" w:themeColor="text1"/>
          <w:sz w:val="30"/>
          <w:szCs w:val="30"/>
          <w:lang w:bidi="en-US"/>
        </w:rPr>
        <w:t>农村物流网络体系</w:t>
      </w:r>
      <w:r>
        <w:rPr>
          <w:rFonts w:eastAsia="黑体"/>
          <w:bCs/>
          <w:color w:val="000000" w:themeColor="text1"/>
          <w:sz w:val="30"/>
          <w:szCs w:val="30"/>
          <w:lang w:bidi="en-US"/>
        </w:rPr>
        <w:t>规划评价及分析</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按照上述评价指标体系，计算</w:t>
      </w:r>
      <w:r>
        <w:rPr>
          <w:rFonts w:hint="eastAsia"/>
          <w:color w:val="000000" w:themeColor="text1"/>
          <w:kern w:val="0"/>
          <w:sz w:val="28"/>
        </w:rPr>
        <w:t>泉州台商投资区农村物流网络</w:t>
      </w:r>
      <w:r>
        <w:rPr>
          <w:color w:val="000000" w:themeColor="text1"/>
          <w:kern w:val="0"/>
          <w:sz w:val="28"/>
        </w:rPr>
        <w:t>近期规划评价指标如</w:t>
      </w:r>
      <w:r>
        <w:rPr>
          <w:rFonts w:ascii="Times New Roman" w:hAnsi="Times New Roman"/>
          <w:b/>
          <w:color w:val="000000" w:themeColor="text1"/>
          <w:sz w:val="24"/>
          <w:szCs w:val="24"/>
        </w:rPr>
        <w:t>表</w:t>
      </w:r>
      <w:r>
        <w:rPr>
          <w:rFonts w:hint="eastAsia" w:ascii="Times New Roman" w:hAnsi="Times New Roman"/>
          <w:b/>
          <w:color w:val="000000" w:themeColor="text1"/>
          <w:sz w:val="24"/>
          <w:szCs w:val="24"/>
        </w:rPr>
        <w:t>2</w:t>
      </w:r>
      <w:r>
        <w:rPr>
          <w:rFonts w:ascii="Times New Roman" w:hAnsi="Times New Roman"/>
          <w:b/>
          <w:color w:val="000000" w:themeColor="text1"/>
          <w:sz w:val="24"/>
          <w:szCs w:val="24"/>
        </w:rPr>
        <w:noBreakHyphen/>
      </w:r>
      <w:r>
        <w:rPr>
          <w:rFonts w:ascii="Times New Roman" w:hAnsi="Times New Roman"/>
          <w:b/>
          <w:color w:val="000000" w:themeColor="text1"/>
          <w:sz w:val="24"/>
          <w:szCs w:val="24"/>
        </w:rPr>
        <w:fldChar w:fldCharType="begin"/>
      </w:r>
      <w:r>
        <w:rPr>
          <w:rFonts w:ascii="Times New Roman" w:hAnsi="Times New Roman"/>
          <w:b/>
          <w:color w:val="000000" w:themeColor="text1"/>
          <w:sz w:val="24"/>
          <w:szCs w:val="24"/>
        </w:rPr>
        <w:instrText xml:space="preserve"> SEQ 表 \* ARABIC \s 1 </w:instrText>
      </w:r>
      <w:r>
        <w:rPr>
          <w:rFonts w:ascii="Times New Roman" w:hAnsi="Times New Roman"/>
          <w:b/>
          <w:color w:val="000000" w:themeColor="text1"/>
          <w:sz w:val="24"/>
          <w:szCs w:val="24"/>
        </w:rPr>
        <w:fldChar w:fldCharType="separate"/>
      </w:r>
      <w:r>
        <w:rPr>
          <w:rFonts w:ascii="Times New Roman" w:hAnsi="Times New Roman"/>
          <w:b/>
          <w:color w:val="000000" w:themeColor="text1"/>
          <w:sz w:val="24"/>
          <w:szCs w:val="24"/>
        </w:rPr>
        <w:t>6</w:t>
      </w:r>
      <w:r>
        <w:rPr>
          <w:rFonts w:ascii="Times New Roman" w:hAnsi="Times New Roman"/>
          <w:b/>
          <w:color w:val="000000" w:themeColor="text1"/>
          <w:sz w:val="24"/>
          <w:szCs w:val="24"/>
        </w:rPr>
        <w:fldChar w:fldCharType="end"/>
      </w:r>
      <w:r>
        <w:rPr>
          <w:color w:val="000000" w:themeColor="text1"/>
          <w:kern w:val="0"/>
          <w:sz w:val="28"/>
        </w:rPr>
        <w:t>所示。</w:t>
      </w:r>
      <w:bookmarkStart w:id="116" w:name="_Ref333740761"/>
      <w:bookmarkStart w:id="117" w:name="_Toc333614741"/>
    </w:p>
    <w:p>
      <w:pPr>
        <w:pStyle w:val="7"/>
        <w:rPr>
          <w:rFonts w:ascii="Times New Roman" w:hAnsi="Times New Roman" w:eastAsia="宋体"/>
          <w:b/>
          <w:color w:val="000000" w:themeColor="text1"/>
          <w:sz w:val="24"/>
          <w:szCs w:val="24"/>
        </w:rPr>
      </w:pPr>
      <w:bookmarkStart w:id="118" w:name="_Ref336702506"/>
      <w:bookmarkStart w:id="119" w:name="_Ref334421705"/>
      <w:bookmarkStart w:id="120" w:name="_Toc470272595"/>
      <w:bookmarkStart w:id="121" w:name="_Toc334639858"/>
      <w:r>
        <w:rPr>
          <w:rFonts w:ascii="Times New Roman" w:hAnsi="Times New Roman" w:eastAsia="宋体"/>
          <w:b/>
          <w:color w:val="000000" w:themeColor="text1"/>
          <w:sz w:val="24"/>
          <w:szCs w:val="24"/>
        </w:rPr>
        <w:t>表</w:t>
      </w:r>
      <w:r>
        <w:rPr>
          <w:rFonts w:hint="eastAsia" w:ascii="Times New Roman" w:hAnsi="Times New Roman" w:eastAsia="宋体"/>
          <w:b/>
          <w:color w:val="000000" w:themeColor="text1"/>
          <w:sz w:val="24"/>
          <w:szCs w:val="24"/>
        </w:rPr>
        <w:t>2</w:t>
      </w:r>
      <w:r>
        <w:rPr>
          <w:rFonts w:ascii="Times New Roman" w:hAnsi="Times New Roman" w:eastAsia="宋体"/>
          <w:b/>
          <w:color w:val="000000" w:themeColor="text1"/>
          <w:sz w:val="24"/>
          <w:szCs w:val="24"/>
        </w:rPr>
        <w:noBreakHyphen/>
      </w:r>
      <w:r>
        <w:rPr>
          <w:rFonts w:ascii="Times New Roman" w:hAnsi="Times New Roman" w:eastAsia="宋体"/>
          <w:b/>
          <w:color w:val="000000" w:themeColor="text1"/>
          <w:sz w:val="24"/>
          <w:szCs w:val="24"/>
        </w:rPr>
        <w:fldChar w:fldCharType="begin"/>
      </w:r>
      <w:r>
        <w:rPr>
          <w:rFonts w:ascii="Times New Roman" w:hAnsi="Times New Roman" w:eastAsia="宋体"/>
          <w:b/>
          <w:color w:val="000000" w:themeColor="text1"/>
          <w:sz w:val="24"/>
          <w:szCs w:val="24"/>
        </w:rPr>
        <w:instrText xml:space="preserve"> SEQ 表 \* ARABIC \s 1 </w:instrText>
      </w:r>
      <w:r>
        <w:rPr>
          <w:rFonts w:ascii="Times New Roman" w:hAnsi="Times New Roman" w:eastAsia="宋体"/>
          <w:b/>
          <w:color w:val="000000" w:themeColor="text1"/>
          <w:sz w:val="24"/>
          <w:szCs w:val="24"/>
        </w:rPr>
        <w:fldChar w:fldCharType="separate"/>
      </w:r>
      <w:r>
        <w:rPr>
          <w:rFonts w:ascii="Times New Roman" w:hAnsi="Times New Roman" w:eastAsia="宋体"/>
          <w:b/>
          <w:color w:val="000000" w:themeColor="text1"/>
          <w:sz w:val="24"/>
          <w:szCs w:val="24"/>
        </w:rPr>
        <w:t>7</w:t>
      </w:r>
      <w:r>
        <w:rPr>
          <w:rFonts w:ascii="Times New Roman" w:hAnsi="Times New Roman" w:eastAsia="宋体"/>
          <w:b/>
          <w:color w:val="000000" w:themeColor="text1"/>
          <w:sz w:val="24"/>
          <w:szCs w:val="24"/>
        </w:rPr>
        <w:fldChar w:fldCharType="end"/>
      </w:r>
      <w:bookmarkEnd w:id="116"/>
      <w:bookmarkEnd w:id="118"/>
      <w:bookmarkEnd w:id="119"/>
      <w:r>
        <w:rPr>
          <w:rFonts w:hint="eastAsia" w:ascii="Times New Roman" w:hAnsi="Times New Roman" w:eastAsia="宋体"/>
          <w:b/>
          <w:color w:val="000000" w:themeColor="text1"/>
          <w:sz w:val="24"/>
          <w:szCs w:val="24"/>
        </w:rPr>
        <w:t>泉州台商投资区农村物流网络体系</w:t>
      </w:r>
      <w:r>
        <w:rPr>
          <w:rFonts w:ascii="Times New Roman" w:hAnsi="Times New Roman" w:eastAsia="宋体"/>
          <w:b/>
          <w:color w:val="000000" w:themeColor="text1"/>
          <w:sz w:val="24"/>
          <w:szCs w:val="24"/>
        </w:rPr>
        <w:t>中远期规划评价指标</w:t>
      </w:r>
      <w:bookmarkEnd w:id="117"/>
      <w:bookmarkEnd w:id="120"/>
      <w:bookmarkEnd w:id="121"/>
    </w:p>
    <w:tbl>
      <w:tblPr>
        <w:tblStyle w:val="18"/>
        <w:tblW w:w="8566"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
      <w:tblGrid>
        <w:gridCol w:w="819"/>
        <w:gridCol w:w="2875"/>
        <w:gridCol w:w="1032"/>
        <w:gridCol w:w="898"/>
        <w:gridCol w:w="834"/>
        <w:gridCol w:w="709"/>
        <w:gridCol w:w="760"/>
        <w:gridCol w:w="63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74" w:hRule="atLeast"/>
          <w:jc w:val="center"/>
        </w:trPr>
        <w:tc>
          <w:tcPr>
            <w:tcW w:w="819" w:type="dxa"/>
            <w:vMerge w:val="restart"/>
            <w:tcMar>
              <w:top w:w="0" w:type="dxa"/>
              <w:left w:w="0" w:type="dxa"/>
              <w:bottom w:w="0" w:type="dxa"/>
              <w:right w:w="0" w:type="dxa"/>
            </w:tcMar>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子系统</w:t>
            </w:r>
          </w:p>
        </w:tc>
        <w:tc>
          <w:tcPr>
            <w:tcW w:w="2875" w:type="dxa"/>
            <w:vMerge w:val="restart"/>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指标名称</w:t>
            </w:r>
          </w:p>
        </w:tc>
        <w:tc>
          <w:tcPr>
            <w:tcW w:w="1032" w:type="dxa"/>
            <w:vMerge w:val="restart"/>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取值</w:t>
            </w:r>
          </w:p>
        </w:tc>
        <w:tc>
          <w:tcPr>
            <w:tcW w:w="1732" w:type="dxa"/>
            <w:gridSpan w:val="2"/>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指标</w:t>
            </w:r>
          </w:p>
        </w:tc>
        <w:tc>
          <w:tcPr>
            <w:tcW w:w="1469" w:type="dxa"/>
            <w:gridSpan w:val="2"/>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子系统</w:t>
            </w:r>
          </w:p>
        </w:tc>
        <w:tc>
          <w:tcPr>
            <w:tcW w:w="639" w:type="dxa"/>
            <w:vMerge w:val="restart"/>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总评价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28" w:hRule="atLeast"/>
          <w:jc w:val="center"/>
        </w:trPr>
        <w:tc>
          <w:tcPr>
            <w:tcW w:w="819" w:type="dxa"/>
            <w:vMerge w:val="continue"/>
            <w:vAlign w:val="center"/>
          </w:tcPr>
          <w:p>
            <w:pPr>
              <w:spacing w:before="0" w:after="0" w:line="440" w:lineRule="exact"/>
              <w:jc w:val="left"/>
              <w:rPr>
                <w:rFonts w:ascii="Times New Roman" w:hAnsi="Times New Roman"/>
                <w:b/>
                <w:bCs/>
                <w:color w:val="000000" w:themeColor="text1"/>
                <w:sz w:val="24"/>
                <w:szCs w:val="24"/>
              </w:rPr>
            </w:pPr>
          </w:p>
        </w:tc>
        <w:tc>
          <w:tcPr>
            <w:tcW w:w="2875" w:type="dxa"/>
            <w:vMerge w:val="continue"/>
            <w:vAlign w:val="center"/>
          </w:tcPr>
          <w:p>
            <w:pPr>
              <w:spacing w:before="0" w:after="0" w:line="440" w:lineRule="exact"/>
              <w:jc w:val="left"/>
              <w:rPr>
                <w:rFonts w:ascii="Times New Roman" w:hAnsi="Times New Roman"/>
                <w:b/>
                <w:bCs/>
                <w:color w:val="000000" w:themeColor="text1"/>
                <w:sz w:val="24"/>
                <w:szCs w:val="24"/>
              </w:rPr>
            </w:pPr>
          </w:p>
        </w:tc>
        <w:tc>
          <w:tcPr>
            <w:tcW w:w="1032" w:type="dxa"/>
            <w:vMerge w:val="continue"/>
            <w:vAlign w:val="center"/>
          </w:tcPr>
          <w:p>
            <w:pPr>
              <w:spacing w:before="0" w:after="0" w:line="440" w:lineRule="exact"/>
              <w:jc w:val="left"/>
              <w:rPr>
                <w:rFonts w:ascii="Times New Roman" w:hAnsi="Times New Roman"/>
                <w:bCs/>
                <w:color w:val="000000" w:themeColor="text1"/>
                <w:sz w:val="24"/>
                <w:szCs w:val="24"/>
              </w:rPr>
            </w:pPr>
          </w:p>
        </w:tc>
        <w:tc>
          <w:tcPr>
            <w:tcW w:w="898" w:type="dxa"/>
            <w:tcBorders>
              <w:bottom w:val="single" w:color="auto" w:sz="12" w:space="0"/>
            </w:tcBorders>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得分</w:t>
            </w:r>
          </w:p>
        </w:tc>
        <w:tc>
          <w:tcPr>
            <w:tcW w:w="834" w:type="dxa"/>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评价</w:t>
            </w:r>
          </w:p>
        </w:tc>
        <w:tc>
          <w:tcPr>
            <w:tcW w:w="709" w:type="dxa"/>
            <w:tcBorders>
              <w:bottom w:val="single" w:color="auto" w:sz="12" w:space="0"/>
            </w:tcBorders>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得分</w:t>
            </w:r>
          </w:p>
        </w:tc>
        <w:tc>
          <w:tcPr>
            <w:tcW w:w="760" w:type="dxa"/>
            <w:vAlign w:val="center"/>
          </w:tcPr>
          <w:p>
            <w:pPr>
              <w:spacing w:before="0" w:after="0" w:line="440" w:lineRule="exact"/>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评价</w:t>
            </w:r>
          </w:p>
        </w:tc>
        <w:tc>
          <w:tcPr>
            <w:tcW w:w="639" w:type="dxa"/>
            <w:vMerge w:val="continue"/>
            <w:vAlign w:val="center"/>
          </w:tcPr>
          <w:p>
            <w:pPr>
              <w:widowControl/>
              <w:spacing w:before="0" w:after="0" w:line="440" w:lineRule="exact"/>
              <w:ind w:left="0" w:firstLine="0"/>
              <w:jc w:val="center"/>
              <w:rPr>
                <w:rFonts w:ascii="Times New Roman" w:hAnsi="Times New Roman"/>
                <w:b/>
                <w:bCs/>
                <w:color w:val="000000" w:themeColor="text1"/>
                <w:kern w:val="0"/>
                <w:szCs w:val="22"/>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13" w:hRule="atLeast"/>
          <w:jc w:val="center"/>
        </w:trPr>
        <w:tc>
          <w:tcPr>
            <w:tcW w:w="819" w:type="dxa"/>
            <w:vMerge w:val="restart"/>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p>
          <w:p>
            <w:pPr>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结构</w:t>
            </w:r>
          </w:p>
        </w:tc>
        <w:tc>
          <w:tcPr>
            <w:tcW w:w="2875" w:type="dxa"/>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网点数量</w:t>
            </w:r>
            <w:r>
              <w:rPr>
                <w:rFonts w:ascii="Times New Roman" w:hAnsi="Times New Roman"/>
                <w:color w:val="000000" w:themeColor="text1"/>
                <w:sz w:val="24"/>
                <w:szCs w:val="24"/>
              </w:rPr>
              <w:t>（</w:t>
            </w:r>
            <w:r>
              <w:rPr>
                <w:rFonts w:hint="eastAsia" w:ascii="Times New Roman" w:hAnsi="Times New Roman"/>
                <w:color w:val="000000" w:themeColor="text1"/>
                <w:sz w:val="24"/>
                <w:szCs w:val="24"/>
              </w:rPr>
              <w:t>个</w:t>
            </w:r>
            <w:r>
              <w:rPr>
                <w:rFonts w:ascii="Times New Roman" w:hAnsi="Times New Roman"/>
                <w:color w:val="000000" w:themeColor="text1"/>
                <w:sz w:val="24"/>
                <w:szCs w:val="24"/>
              </w:rPr>
              <w:t>）</w:t>
            </w:r>
          </w:p>
        </w:tc>
        <w:tc>
          <w:tcPr>
            <w:tcW w:w="1032" w:type="dxa"/>
            <w:tcBorders>
              <w:right w:val="single" w:color="auto" w:sz="12" w:space="0"/>
            </w:tcBorders>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127</w:t>
            </w:r>
          </w:p>
        </w:tc>
        <w:tc>
          <w:tcPr>
            <w:tcW w:w="898"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0.98 </w:t>
            </w:r>
          </w:p>
        </w:tc>
        <w:tc>
          <w:tcPr>
            <w:tcW w:w="834" w:type="dxa"/>
            <w:tcBorders>
              <w:left w:val="single" w:color="auto" w:sz="12" w:space="0"/>
            </w:tcBorders>
            <w:vAlign w:val="center"/>
          </w:tcPr>
          <w:p>
            <w:pPr>
              <w:widowControl/>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09" w:type="dxa"/>
            <w:vMerge w:val="restart"/>
            <w:tcBorders>
              <w:top w:val="single" w:color="auto" w:sz="12"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olor w:val="000000" w:themeColor="text1"/>
                <w:kern w:val="0"/>
                <w:sz w:val="22"/>
                <w:szCs w:val="22"/>
              </w:rPr>
            </w:pPr>
            <w:r>
              <w:rPr>
                <w:rFonts w:hint="eastAsia"/>
                <w:color w:val="000000" w:themeColor="text1"/>
                <w:sz w:val="22"/>
                <w:szCs w:val="22"/>
              </w:rPr>
              <w:t xml:space="preserve">0.93 </w:t>
            </w:r>
          </w:p>
        </w:tc>
        <w:tc>
          <w:tcPr>
            <w:tcW w:w="760" w:type="dxa"/>
            <w:vMerge w:val="restart"/>
            <w:vAlign w:val="center"/>
          </w:tcPr>
          <w:p>
            <w:pPr>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639" w:type="dxa"/>
            <w:vMerge w:val="restart"/>
            <w:vAlign w:val="center"/>
          </w:tcPr>
          <w:p>
            <w:pPr>
              <w:spacing w:before="0" w:after="0" w:line="440" w:lineRule="exact"/>
              <w:ind w:left="0" w:firstLine="0"/>
              <w:jc w:val="center"/>
              <w:rPr>
                <w:rFonts w:ascii="Times New Roman" w:hAnsi="Times New Roman"/>
                <w:bCs/>
                <w:color w:val="000000" w:themeColor="text1"/>
                <w:sz w:val="24"/>
                <w:szCs w:val="24"/>
              </w:rPr>
            </w:pPr>
            <w:r>
              <w:rPr>
                <w:rFonts w:hint="eastAsia" w:ascii="Times New Roman" w:hAnsi="Times New Roman"/>
                <w:bCs/>
                <w:color w:val="000000" w:themeColor="text1"/>
                <w:sz w:val="24"/>
                <w:szCs w:val="24"/>
              </w:rPr>
              <w:t>0.93</w:t>
            </w:r>
          </w:p>
          <w:p>
            <w:pPr>
              <w:spacing w:before="0" w:after="0" w:line="440" w:lineRule="exact"/>
              <w:ind w:left="0" w:firstLine="0"/>
              <w:jc w:val="center"/>
              <w:rPr>
                <w:rFonts w:ascii="Times New Roman" w:hAnsi="Times New Roman"/>
                <w:bCs/>
                <w:color w:val="000000" w:themeColor="text1"/>
                <w:sz w:val="24"/>
                <w:szCs w:val="24"/>
              </w:rPr>
            </w:pPr>
          </w:p>
          <w:p>
            <w:pPr>
              <w:spacing w:before="0" w:after="0" w:line="440" w:lineRule="exact"/>
              <w:ind w:left="0" w:firstLine="0"/>
              <w:jc w:val="center"/>
              <w:rPr>
                <w:rFonts w:ascii="Times New Roman" w:hAnsi="Times New Roman"/>
                <w:bCs/>
                <w:color w:val="000000" w:themeColor="text1"/>
                <w:sz w:val="24"/>
                <w:szCs w:val="24"/>
              </w:rPr>
            </w:pPr>
            <w:r>
              <w:rPr>
                <w:rFonts w:ascii="Times New Roman" w:hAnsi="Times New Roman"/>
                <w:bCs/>
                <w:color w:val="000000" w:themeColor="text1"/>
                <w:sz w:val="24"/>
                <w:szCs w:val="24"/>
              </w:rPr>
              <w:t>好</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13" w:hRule="atLeast"/>
          <w:jc w:val="center"/>
        </w:trPr>
        <w:tc>
          <w:tcPr>
            <w:tcW w:w="819" w:type="dxa"/>
            <w:vMerge w:val="continue"/>
            <w:vAlign w:val="center"/>
          </w:tcPr>
          <w:p>
            <w:pPr>
              <w:spacing w:before="0" w:after="0" w:line="440" w:lineRule="exact"/>
              <w:ind w:left="0" w:firstLine="0"/>
              <w:jc w:val="center"/>
              <w:rPr>
                <w:rFonts w:ascii="Times New Roman" w:hAnsi="Times New Roman"/>
                <w:color w:val="000000" w:themeColor="text1"/>
                <w:sz w:val="24"/>
                <w:szCs w:val="24"/>
              </w:rPr>
            </w:pPr>
          </w:p>
        </w:tc>
        <w:tc>
          <w:tcPr>
            <w:tcW w:w="2875" w:type="dxa"/>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配送线路数量</w:t>
            </w:r>
          </w:p>
        </w:tc>
        <w:tc>
          <w:tcPr>
            <w:tcW w:w="1032" w:type="dxa"/>
            <w:tcBorders>
              <w:right w:val="single" w:color="auto" w:sz="12" w:space="0"/>
            </w:tcBorders>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11</w:t>
            </w:r>
          </w:p>
        </w:tc>
        <w:tc>
          <w:tcPr>
            <w:tcW w:w="898"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0.83 </w:t>
            </w:r>
          </w:p>
        </w:tc>
        <w:tc>
          <w:tcPr>
            <w:tcW w:w="834" w:type="dxa"/>
            <w:tcBorders>
              <w:left w:val="single" w:color="auto" w:sz="12" w:space="0"/>
            </w:tcBorders>
            <w:vAlign w:val="center"/>
          </w:tcPr>
          <w:p>
            <w:pPr>
              <w:widowControl/>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09"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40" w:lineRule="exact"/>
              <w:ind w:left="0" w:firstLine="0"/>
              <w:jc w:val="center"/>
              <w:rPr>
                <w:rFonts w:ascii="Times New Roman" w:hAnsi="Times New Roman"/>
                <w:color w:val="000000" w:themeColor="text1"/>
                <w:sz w:val="24"/>
                <w:szCs w:val="24"/>
              </w:rPr>
            </w:pPr>
          </w:p>
        </w:tc>
        <w:tc>
          <w:tcPr>
            <w:tcW w:w="760" w:type="dxa"/>
            <w:vMerge w:val="continue"/>
            <w:vAlign w:val="center"/>
          </w:tcPr>
          <w:p>
            <w:pPr>
              <w:spacing w:before="0" w:after="0" w:line="440" w:lineRule="exact"/>
              <w:ind w:left="0" w:firstLine="0"/>
              <w:jc w:val="center"/>
              <w:rPr>
                <w:rFonts w:ascii="Times New Roman" w:hAnsi="Times New Roman"/>
                <w:color w:val="000000" w:themeColor="text1"/>
                <w:sz w:val="24"/>
                <w:szCs w:val="24"/>
              </w:rPr>
            </w:pPr>
          </w:p>
        </w:tc>
        <w:tc>
          <w:tcPr>
            <w:tcW w:w="639" w:type="dxa"/>
            <w:vMerge w:val="continue"/>
            <w:vAlign w:val="center"/>
          </w:tcPr>
          <w:p>
            <w:pPr>
              <w:widowControl/>
              <w:spacing w:before="0" w:after="0" w:line="44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13" w:hRule="atLeast"/>
          <w:jc w:val="center"/>
        </w:trPr>
        <w:tc>
          <w:tcPr>
            <w:tcW w:w="819" w:type="dxa"/>
            <w:vMerge w:val="continue"/>
            <w:vAlign w:val="center"/>
          </w:tcPr>
          <w:p>
            <w:pPr>
              <w:spacing w:before="0" w:after="0" w:line="440" w:lineRule="exact"/>
              <w:ind w:left="0" w:firstLine="0"/>
              <w:jc w:val="center"/>
              <w:rPr>
                <w:rFonts w:ascii="Times New Roman" w:hAnsi="Times New Roman"/>
                <w:color w:val="000000" w:themeColor="text1"/>
                <w:sz w:val="24"/>
                <w:szCs w:val="24"/>
              </w:rPr>
            </w:pPr>
          </w:p>
        </w:tc>
        <w:tc>
          <w:tcPr>
            <w:tcW w:w="2875" w:type="dxa"/>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密度（</w:t>
            </w:r>
            <w:r>
              <w:rPr>
                <w:rFonts w:hint="eastAsia" w:ascii="Times New Roman" w:hAnsi="Times New Roman"/>
                <w:color w:val="000000" w:themeColor="text1"/>
                <w:sz w:val="24"/>
                <w:szCs w:val="24"/>
              </w:rPr>
              <w:t>个</w:t>
            </w:r>
            <w:r>
              <w:rPr>
                <w:rFonts w:ascii="Times New Roman" w:hAnsi="Times New Roman"/>
                <w:color w:val="000000" w:themeColor="text1"/>
                <w:sz w:val="24"/>
                <w:szCs w:val="24"/>
              </w:rPr>
              <w:t>/km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w:t>
            </w:r>
          </w:p>
        </w:tc>
        <w:tc>
          <w:tcPr>
            <w:tcW w:w="1032" w:type="dxa"/>
            <w:tcBorders>
              <w:right w:val="single" w:color="auto" w:sz="12" w:space="0"/>
            </w:tcBorders>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0.635</w:t>
            </w:r>
          </w:p>
        </w:tc>
        <w:tc>
          <w:tcPr>
            <w:tcW w:w="898"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0.99 </w:t>
            </w:r>
          </w:p>
        </w:tc>
        <w:tc>
          <w:tcPr>
            <w:tcW w:w="834" w:type="dxa"/>
            <w:tcBorders>
              <w:left w:val="single" w:color="auto" w:sz="12" w:space="0"/>
            </w:tcBorders>
            <w:vAlign w:val="center"/>
          </w:tcPr>
          <w:p>
            <w:pPr>
              <w:widowControl/>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09"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40" w:lineRule="exact"/>
              <w:ind w:left="0" w:firstLine="0"/>
              <w:jc w:val="center"/>
              <w:rPr>
                <w:rFonts w:ascii="Times New Roman" w:hAnsi="Times New Roman"/>
                <w:color w:val="000000" w:themeColor="text1"/>
                <w:sz w:val="24"/>
                <w:szCs w:val="24"/>
              </w:rPr>
            </w:pPr>
          </w:p>
        </w:tc>
        <w:tc>
          <w:tcPr>
            <w:tcW w:w="760" w:type="dxa"/>
            <w:vMerge w:val="continue"/>
            <w:vAlign w:val="center"/>
          </w:tcPr>
          <w:p>
            <w:pPr>
              <w:spacing w:before="0" w:after="0" w:line="440" w:lineRule="exact"/>
              <w:ind w:left="0" w:firstLine="0"/>
              <w:jc w:val="center"/>
              <w:rPr>
                <w:rFonts w:ascii="Times New Roman" w:hAnsi="Times New Roman"/>
                <w:color w:val="000000" w:themeColor="text1"/>
                <w:sz w:val="24"/>
                <w:szCs w:val="24"/>
              </w:rPr>
            </w:pPr>
          </w:p>
        </w:tc>
        <w:tc>
          <w:tcPr>
            <w:tcW w:w="639" w:type="dxa"/>
            <w:vMerge w:val="continue"/>
            <w:vAlign w:val="center"/>
          </w:tcPr>
          <w:p>
            <w:pPr>
              <w:widowControl/>
              <w:spacing w:before="0" w:after="0" w:line="44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25" w:hRule="atLeast"/>
          <w:jc w:val="center"/>
        </w:trPr>
        <w:tc>
          <w:tcPr>
            <w:tcW w:w="819" w:type="dxa"/>
            <w:vMerge w:val="restart"/>
            <w:vAlign w:val="center"/>
          </w:tcPr>
          <w:p>
            <w:pPr>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设施</w:t>
            </w:r>
          </w:p>
          <w:p>
            <w:pPr>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水平</w:t>
            </w:r>
          </w:p>
        </w:tc>
        <w:tc>
          <w:tcPr>
            <w:tcW w:w="2875" w:type="dxa"/>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面积（万平方米）</w:t>
            </w:r>
          </w:p>
        </w:tc>
        <w:tc>
          <w:tcPr>
            <w:tcW w:w="1032" w:type="dxa"/>
            <w:tcBorders>
              <w:right w:val="single" w:color="auto" w:sz="12" w:space="0"/>
            </w:tcBorders>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0.318</w:t>
            </w:r>
          </w:p>
        </w:tc>
        <w:tc>
          <w:tcPr>
            <w:tcW w:w="898"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0.95 </w:t>
            </w:r>
          </w:p>
        </w:tc>
        <w:tc>
          <w:tcPr>
            <w:tcW w:w="834" w:type="dxa"/>
            <w:tcBorders>
              <w:left w:val="single" w:color="auto" w:sz="12" w:space="0"/>
            </w:tcBorders>
            <w:vAlign w:val="center"/>
          </w:tcPr>
          <w:p>
            <w:pPr>
              <w:widowControl/>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09" w:type="dxa"/>
            <w:vMerge w:val="restart"/>
            <w:tcBorders>
              <w:top w:val="single" w:color="auto" w:sz="12" w:space="0"/>
              <w:left w:val="single" w:color="auto" w:sz="4" w:space="0"/>
              <w:bottom w:val="single" w:color="auto" w:sz="12" w:space="0"/>
              <w:right w:val="single" w:color="auto" w:sz="4" w:space="0"/>
            </w:tcBorders>
            <w:shd w:val="clear" w:color="auto" w:fill="auto"/>
            <w:vAlign w:val="center"/>
          </w:tcPr>
          <w:p>
            <w:pPr>
              <w:jc w:val="center"/>
              <w:rPr>
                <w:color w:val="000000" w:themeColor="text1"/>
                <w:sz w:val="22"/>
                <w:szCs w:val="22"/>
              </w:rPr>
            </w:pPr>
            <w:r>
              <w:rPr>
                <w:rFonts w:hint="eastAsia"/>
                <w:color w:val="000000" w:themeColor="text1"/>
                <w:sz w:val="22"/>
                <w:szCs w:val="22"/>
              </w:rPr>
              <w:t xml:space="preserve">0.95 </w:t>
            </w:r>
          </w:p>
        </w:tc>
        <w:tc>
          <w:tcPr>
            <w:tcW w:w="760" w:type="dxa"/>
            <w:vMerge w:val="restart"/>
            <w:vAlign w:val="center"/>
          </w:tcPr>
          <w:p>
            <w:pPr>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639" w:type="dxa"/>
            <w:vMerge w:val="continue"/>
            <w:vAlign w:val="center"/>
          </w:tcPr>
          <w:p>
            <w:pPr>
              <w:widowControl/>
              <w:spacing w:before="0" w:after="0" w:line="44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94" w:hRule="atLeast"/>
          <w:jc w:val="center"/>
        </w:trPr>
        <w:tc>
          <w:tcPr>
            <w:tcW w:w="819" w:type="dxa"/>
            <w:vMerge w:val="continue"/>
            <w:vAlign w:val="center"/>
          </w:tcPr>
          <w:p>
            <w:pPr>
              <w:spacing w:before="0" w:after="0" w:line="440" w:lineRule="exact"/>
              <w:jc w:val="left"/>
              <w:rPr>
                <w:rFonts w:ascii="Times New Roman" w:hAnsi="Times New Roman"/>
                <w:b/>
                <w:bCs/>
                <w:color w:val="000000" w:themeColor="text1"/>
                <w:sz w:val="24"/>
                <w:szCs w:val="24"/>
              </w:rPr>
            </w:pPr>
          </w:p>
        </w:tc>
        <w:tc>
          <w:tcPr>
            <w:tcW w:w="2875" w:type="dxa"/>
            <w:vAlign w:val="center"/>
          </w:tcPr>
          <w:p>
            <w:pPr>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500米</w:t>
            </w: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覆盖率（%）</w:t>
            </w:r>
          </w:p>
        </w:tc>
        <w:tc>
          <w:tcPr>
            <w:tcW w:w="1032" w:type="dxa"/>
            <w:tcBorders>
              <w:right w:val="single" w:color="auto" w:sz="12" w:space="0"/>
            </w:tcBorders>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50</w:t>
            </w:r>
          </w:p>
        </w:tc>
        <w:tc>
          <w:tcPr>
            <w:tcW w:w="898"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0.96 </w:t>
            </w:r>
          </w:p>
        </w:tc>
        <w:tc>
          <w:tcPr>
            <w:tcW w:w="834" w:type="dxa"/>
            <w:tcBorders>
              <w:left w:val="single" w:color="auto" w:sz="12" w:space="0"/>
            </w:tcBorders>
            <w:vAlign w:val="center"/>
          </w:tcPr>
          <w:p>
            <w:pPr>
              <w:widowControl/>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09"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40" w:lineRule="exact"/>
              <w:jc w:val="left"/>
              <w:rPr>
                <w:rFonts w:ascii="Times New Roman" w:hAnsi="Times New Roman"/>
                <w:bCs/>
                <w:color w:val="000000" w:themeColor="text1"/>
                <w:sz w:val="24"/>
                <w:szCs w:val="24"/>
              </w:rPr>
            </w:pPr>
          </w:p>
        </w:tc>
        <w:tc>
          <w:tcPr>
            <w:tcW w:w="760" w:type="dxa"/>
            <w:vMerge w:val="continue"/>
            <w:vAlign w:val="center"/>
          </w:tcPr>
          <w:p>
            <w:pPr>
              <w:spacing w:before="0" w:after="0" w:line="440" w:lineRule="exact"/>
              <w:jc w:val="left"/>
              <w:rPr>
                <w:rFonts w:ascii="Times New Roman" w:hAnsi="Times New Roman"/>
                <w:bCs/>
                <w:color w:val="000000" w:themeColor="text1"/>
                <w:sz w:val="24"/>
                <w:szCs w:val="24"/>
              </w:rPr>
            </w:pPr>
          </w:p>
        </w:tc>
        <w:tc>
          <w:tcPr>
            <w:tcW w:w="639" w:type="dxa"/>
            <w:vMerge w:val="continue"/>
            <w:vAlign w:val="center"/>
          </w:tcPr>
          <w:p>
            <w:pPr>
              <w:widowControl/>
              <w:spacing w:before="0" w:after="0" w:line="44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00" w:hRule="atLeast"/>
          <w:jc w:val="center"/>
        </w:trPr>
        <w:tc>
          <w:tcPr>
            <w:tcW w:w="819" w:type="dxa"/>
            <w:vMerge w:val="continue"/>
            <w:vAlign w:val="center"/>
          </w:tcPr>
          <w:p>
            <w:pPr>
              <w:spacing w:before="0" w:after="0" w:line="440" w:lineRule="exact"/>
              <w:jc w:val="left"/>
              <w:rPr>
                <w:rFonts w:ascii="Times New Roman" w:hAnsi="Times New Roman"/>
                <w:b/>
                <w:bCs/>
                <w:color w:val="000000" w:themeColor="text1"/>
                <w:sz w:val="24"/>
                <w:szCs w:val="24"/>
              </w:rPr>
            </w:pPr>
          </w:p>
        </w:tc>
        <w:tc>
          <w:tcPr>
            <w:tcW w:w="2875" w:type="dxa"/>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物流</w:t>
            </w:r>
            <w:r>
              <w:rPr>
                <w:rFonts w:ascii="Times New Roman" w:hAnsi="Times New Roman"/>
                <w:color w:val="000000" w:themeColor="text1"/>
                <w:sz w:val="24"/>
                <w:szCs w:val="24"/>
              </w:rPr>
              <w:t>场</w:t>
            </w:r>
            <w:r>
              <w:rPr>
                <w:rFonts w:hint="eastAsia" w:ascii="Times New Roman" w:hAnsi="Times New Roman"/>
                <w:color w:val="000000" w:themeColor="text1"/>
                <w:sz w:val="24"/>
                <w:szCs w:val="24"/>
              </w:rPr>
              <w:t>站</w:t>
            </w:r>
            <w:r>
              <w:rPr>
                <w:rFonts w:ascii="Times New Roman" w:hAnsi="Times New Roman"/>
                <w:color w:val="000000" w:themeColor="text1"/>
                <w:sz w:val="24"/>
                <w:szCs w:val="24"/>
              </w:rPr>
              <w:t>面积（万平方米）</w:t>
            </w:r>
          </w:p>
        </w:tc>
        <w:tc>
          <w:tcPr>
            <w:tcW w:w="1032" w:type="dxa"/>
            <w:tcBorders>
              <w:right w:val="single" w:color="auto" w:sz="12" w:space="0"/>
            </w:tcBorders>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0.533</w:t>
            </w:r>
          </w:p>
        </w:tc>
        <w:tc>
          <w:tcPr>
            <w:tcW w:w="898"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0.92 </w:t>
            </w:r>
          </w:p>
        </w:tc>
        <w:tc>
          <w:tcPr>
            <w:tcW w:w="834" w:type="dxa"/>
            <w:tcBorders>
              <w:left w:val="single" w:color="auto" w:sz="12" w:space="0"/>
            </w:tcBorders>
            <w:vAlign w:val="center"/>
          </w:tcPr>
          <w:p>
            <w:pPr>
              <w:widowControl/>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09"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40" w:lineRule="exact"/>
              <w:jc w:val="left"/>
              <w:rPr>
                <w:rFonts w:ascii="Times New Roman" w:hAnsi="Times New Roman"/>
                <w:bCs/>
                <w:color w:val="000000" w:themeColor="text1"/>
                <w:sz w:val="24"/>
                <w:szCs w:val="24"/>
              </w:rPr>
            </w:pPr>
          </w:p>
        </w:tc>
        <w:tc>
          <w:tcPr>
            <w:tcW w:w="760" w:type="dxa"/>
            <w:vMerge w:val="continue"/>
            <w:vAlign w:val="center"/>
          </w:tcPr>
          <w:p>
            <w:pPr>
              <w:spacing w:before="0" w:after="0" w:line="440" w:lineRule="exact"/>
              <w:jc w:val="left"/>
              <w:rPr>
                <w:rFonts w:ascii="Times New Roman" w:hAnsi="Times New Roman"/>
                <w:bCs/>
                <w:color w:val="000000" w:themeColor="text1"/>
                <w:sz w:val="24"/>
                <w:szCs w:val="24"/>
              </w:rPr>
            </w:pPr>
          </w:p>
        </w:tc>
        <w:tc>
          <w:tcPr>
            <w:tcW w:w="639" w:type="dxa"/>
            <w:vMerge w:val="continue"/>
            <w:vAlign w:val="center"/>
          </w:tcPr>
          <w:p>
            <w:pPr>
              <w:widowControl/>
              <w:spacing w:before="0" w:after="0" w:line="44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98" w:hRule="atLeast"/>
          <w:jc w:val="center"/>
        </w:trPr>
        <w:tc>
          <w:tcPr>
            <w:tcW w:w="819" w:type="dxa"/>
            <w:vMerge w:val="restart"/>
            <w:vAlign w:val="center"/>
          </w:tcPr>
          <w:p>
            <w:pPr>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服务质量</w:t>
            </w:r>
          </w:p>
        </w:tc>
        <w:tc>
          <w:tcPr>
            <w:tcW w:w="2875" w:type="dxa"/>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平均托运距离</w:t>
            </w:r>
            <w:r>
              <w:rPr>
                <w:rFonts w:ascii="Times New Roman" w:hAnsi="Times New Roman"/>
                <w:color w:val="000000" w:themeColor="text1"/>
                <w:sz w:val="24"/>
                <w:szCs w:val="24"/>
              </w:rPr>
              <w:t>（km）</w:t>
            </w:r>
          </w:p>
        </w:tc>
        <w:tc>
          <w:tcPr>
            <w:tcW w:w="1032" w:type="dxa"/>
            <w:tcBorders>
              <w:right w:val="single" w:color="auto" w:sz="12" w:space="0"/>
            </w:tcBorders>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0.72</w:t>
            </w:r>
          </w:p>
        </w:tc>
        <w:tc>
          <w:tcPr>
            <w:tcW w:w="898"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0.91 </w:t>
            </w:r>
          </w:p>
        </w:tc>
        <w:tc>
          <w:tcPr>
            <w:tcW w:w="834" w:type="dxa"/>
            <w:tcBorders>
              <w:left w:val="single" w:color="auto" w:sz="12" w:space="0"/>
            </w:tcBorders>
            <w:vAlign w:val="center"/>
          </w:tcPr>
          <w:p>
            <w:pPr>
              <w:widowControl/>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09" w:type="dxa"/>
            <w:vMerge w:val="restart"/>
            <w:tcBorders>
              <w:top w:val="single" w:color="auto" w:sz="12" w:space="0"/>
              <w:left w:val="single" w:color="auto" w:sz="4" w:space="0"/>
              <w:bottom w:val="single" w:color="auto" w:sz="12" w:space="0"/>
              <w:right w:val="single" w:color="auto" w:sz="4" w:space="0"/>
            </w:tcBorders>
            <w:shd w:val="clear" w:color="auto" w:fill="auto"/>
            <w:vAlign w:val="center"/>
          </w:tcPr>
          <w:p>
            <w:pPr>
              <w:jc w:val="center"/>
              <w:rPr>
                <w:color w:val="000000" w:themeColor="text1"/>
                <w:sz w:val="22"/>
                <w:szCs w:val="22"/>
              </w:rPr>
            </w:pPr>
            <w:r>
              <w:rPr>
                <w:rFonts w:hint="eastAsia"/>
                <w:color w:val="000000" w:themeColor="text1"/>
                <w:sz w:val="22"/>
                <w:szCs w:val="22"/>
              </w:rPr>
              <w:t xml:space="preserve">0.91 </w:t>
            </w:r>
          </w:p>
        </w:tc>
        <w:tc>
          <w:tcPr>
            <w:tcW w:w="760" w:type="dxa"/>
            <w:vMerge w:val="restart"/>
            <w:vAlign w:val="center"/>
          </w:tcPr>
          <w:p>
            <w:pPr>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639" w:type="dxa"/>
            <w:vMerge w:val="continue"/>
            <w:vAlign w:val="center"/>
          </w:tcPr>
          <w:p>
            <w:pPr>
              <w:widowControl/>
              <w:spacing w:before="0" w:after="0" w:line="440" w:lineRule="exact"/>
              <w:jc w:val="left"/>
              <w:rPr>
                <w:rFonts w:ascii="Times New Roman" w:hAnsi="Times New Roman"/>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02" w:hRule="atLeast"/>
          <w:jc w:val="center"/>
        </w:trPr>
        <w:tc>
          <w:tcPr>
            <w:tcW w:w="819" w:type="dxa"/>
            <w:vMerge w:val="continue"/>
            <w:vAlign w:val="center"/>
          </w:tcPr>
          <w:p>
            <w:pPr>
              <w:spacing w:before="0" w:after="0" w:line="440" w:lineRule="exact"/>
              <w:jc w:val="left"/>
              <w:rPr>
                <w:rFonts w:ascii="Times New Roman" w:hAnsi="Times New Roman"/>
                <w:b/>
                <w:bCs/>
                <w:color w:val="000000" w:themeColor="text1"/>
                <w:sz w:val="24"/>
                <w:szCs w:val="24"/>
              </w:rPr>
            </w:pPr>
          </w:p>
        </w:tc>
        <w:tc>
          <w:tcPr>
            <w:tcW w:w="2875" w:type="dxa"/>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网点设备保障率（%）</w:t>
            </w:r>
          </w:p>
        </w:tc>
        <w:tc>
          <w:tcPr>
            <w:tcW w:w="1032" w:type="dxa"/>
            <w:tcBorders>
              <w:right w:val="single" w:color="auto" w:sz="12" w:space="0"/>
            </w:tcBorders>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95</w:t>
            </w:r>
          </w:p>
        </w:tc>
        <w:tc>
          <w:tcPr>
            <w:tcW w:w="898"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0.90 </w:t>
            </w:r>
          </w:p>
        </w:tc>
        <w:tc>
          <w:tcPr>
            <w:tcW w:w="834" w:type="dxa"/>
            <w:tcBorders>
              <w:left w:val="single" w:color="auto" w:sz="12" w:space="0"/>
            </w:tcBorders>
            <w:vAlign w:val="center"/>
          </w:tcPr>
          <w:p>
            <w:pPr>
              <w:widowControl/>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09" w:type="dxa"/>
            <w:vMerge w:val="continue"/>
            <w:tcBorders>
              <w:top w:val="single" w:color="auto" w:sz="12" w:space="0"/>
              <w:left w:val="single" w:color="auto" w:sz="4" w:space="0"/>
              <w:bottom w:val="single" w:color="auto" w:sz="12" w:space="0"/>
              <w:right w:val="single" w:color="auto" w:sz="4" w:space="0"/>
            </w:tcBorders>
            <w:vAlign w:val="center"/>
          </w:tcPr>
          <w:p>
            <w:pPr>
              <w:spacing w:before="0" w:after="0" w:line="440" w:lineRule="exact"/>
              <w:jc w:val="left"/>
              <w:rPr>
                <w:rFonts w:ascii="Times New Roman" w:hAnsi="Times New Roman"/>
                <w:bCs/>
                <w:color w:val="000000" w:themeColor="text1"/>
                <w:sz w:val="24"/>
                <w:szCs w:val="24"/>
              </w:rPr>
            </w:pPr>
          </w:p>
        </w:tc>
        <w:tc>
          <w:tcPr>
            <w:tcW w:w="760" w:type="dxa"/>
            <w:vMerge w:val="continue"/>
            <w:vAlign w:val="center"/>
          </w:tcPr>
          <w:p>
            <w:pPr>
              <w:spacing w:before="0" w:after="0" w:line="440" w:lineRule="exact"/>
              <w:jc w:val="left"/>
              <w:rPr>
                <w:rFonts w:ascii="Times New Roman" w:hAnsi="Times New Roman"/>
                <w:bCs/>
                <w:color w:val="000000" w:themeColor="text1"/>
                <w:sz w:val="24"/>
                <w:szCs w:val="24"/>
              </w:rPr>
            </w:pPr>
          </w:p>
        </w:tc>
        <w:tc>
          <w:tcPr>
            <w:tcW w:w="639" w:type="dxa"/>
            <w:vMerge w:val="continue"/>
            <w:vAlign w:val="center"/>
          </w:tcPr>
          <w:p>
            <w:pPr>
              <w:spacing w:before="0" w:after="0" w:line="440" w:lineRule="exact"/>
              <w:jc w:val="left"/>
              <w:rPr>
                <w:rFonts w:ascii="Times New Roman" w:hAnsi="Times New Roman"/>
                <w:bCs/>
                <w:color w:val="000000" w:themeColor="text1"/>
                <w:sz w:val="24"/>
                <w:szCs w:val="24"/>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51" w:hRule="atLeast"/>
          <w:jc w:val="center"/>
        </w:trPr>
        <w:tc>
          <w:tcPr>
            <w:tcW w:w="819" w:type="dxa"/>
            <w:vMerge w:val="continue"/>
            <w:vAlign w:val="center"/>
          </w:tcPr>
          <w:p>
            <w:pPr>
              <w:spacing w:before="0" w:after="0" w:line="440" w:lineRule="exact"/>
              <w:jc w:val="left"/>
              <w:rPr>
                <w:rFonts w:ascii="Times New Roman" w:hAnsi="Times New Roman"/>
                <w:b/>
                <w:bCs/>
                <w:color w:val="000000" w:themeColor="text1"/>
                <w:sz w:val="24"/>
                <w:szCs w:val="24"/>
              </w:rPr>
            </w:pPr>
          </w:p>
        </w:tc>
        <w:tc>
          <w:tcPr>
            <w:tcW w:w="2875" w:type="dxa"/>
            <w:vAlign w:val="center"/>
          </w:tcPr>
          <w:p>
            <w:pPr>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平均</w:t>
            </w:r>
            <w:r>
              <w:rPr>
                <w:rFonts w:hint="eastAsia" w:ascii="Times New Roman" w:hAnsi="Times New Roman"/>
                <w:color w:val="000000" w:themeColor="text1"/>
                <w:sz w:val="24"/>
                <w:szCs w:val="24"/>
              </w:rPr>
              <w:t>收发货</w:t>
            </w:r>
            <w:r>
              <w:rPr>
                <w:rFonts w:ascii="Times New Roman" w:hAnsi="Times New Roman"/>
                <w:color w:val="000000" w:themeColor="text1"/>
                <w:sz w:val="24"/>
                <w:szCs w:val="24"/>
              </w:rPr>
              <w:t>时耗（min）</w:t>
            </w:r>
          </w:p>
        </w:tc>
        <w:tc>
          <w:tcPr>
            <w:tcW w:w="1032" w:type="dxa"/>
            <w:tcBorders>
              <w:right w:val="single" w:color="auto" w:sz="12" w:space="0"/>
            </w:tcBorders>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6</w:t>
            </w:r>
          </w:p>
        </w:tc>
        <w:tc>
          <w:tcPr>
            <w:tcW w:w="898" w:type="dxa"/>
            <w:tcBorders>
              <w:top w:val="single" w:color="auto" w:sz="12" w:space="0"/>
              <w:left w:val="single" w:color="auto" w:sz="12" w:space="0"/>
              <w:bottom w:val="thickThinSmallGap" w:color="auto" w:sz="18" w:space="0"/>
              <w:right w:val="single" w:color="auto" w:sz="12" w:space="0"/>
            </w:tcBorders>
            <w:shd w:val="clear" w:color="auto" w:fill="auto"/>
            <w:vAlign w:val="center"/>
          </w:tcPr>
          <w:p>
            <w:pPr>
              <w:spacing w:before="0" w:after="0" w:line="440" w:lineRule="exact"/>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 xml:space="preserve">0.95 </w:t>
            </w:r>
          </w:p>
        </w:tc>
        <w:tc>
          <w:tcPr>
            <w:tcW w:w="834" w:type="dxa"/>
            <w:tcBorders>
              <w:left w:val="single" w:color="auto" w:sz="12" w:space="0"/>
              <w:bottom w:val="thickThinSmallGap" w:color="auto" w:sz="18" w:space="0"/>
            </w:tcBorders>
            <w:vAlign w:val="center"/>
          </w:tcPr>
          <w:p>
            <w:pPr>
              <w:widowControl/>
              <w:spacing w:before="0" w:after="0" w:line="440" w:lineRule="exact"/>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好</w:t>
            </w:r>
          </w:p>
        </w:tc>
        <w:tc>
          <w:tcPr>
            <w:tcW w:w="709" w:type="dxa"/>
            <w:vMerge w:val="continue"/>
            <w:tcBorders>
              <w:top w:val="single" w:color="auto" w:sz="12" w:space="0"/>
              <w:left w:val="single" w:color="auto" w:sz="4" w:space="0"/>
              <w:bottom w:val="thickThinSmallGap" w:color="auto" w:sz="18" w:space="0"/>
              <w:right w:val="single" w:color="auto" w:sz="4" w:space="0"/>
            </w:tcBorders>
            <w:vAlign w:val="center"/>
          </w:tcPr>
          <w:p>
            <w:pPr>
              <w:spacing w:before="0" w:after="0" w:line="440" w:lineRule="exact"/>
              <w:jc w:val="left"/>
              <w:rPr>
                <w:rFonts w:ascii="Times New Roman" w:hAnsi="Times New Roman"/>
                <w:bCs/>
                <w:color w:val="000000" w:themeColor="text1"/>
                <w:sz w:val="24"/>
                <w:szCs w:val="24"/>
              </w:rPr>
            </w:pPr>
          </w:p>
        </w:tc>
        <w:tc>
          <w:tcPr>
            <w:tcW w:w="760" w:type="dxa"/>
            <w:vMerge w:val="continue"/>
            <w:vAlign w:val="center"/>
          </w:tcPr>
          <w:p>
            <w:pPr>
              <w:spacing w:before="0" w:after="0" w:line="440" w:lineRule="exact"/>
              <w:jc w:val="left"/>
              <w:rPr>
                <w:rFonts w:ascii="Times New Roman" w:hAnsi="Times New Roman"/>
                <w:bCs/>
                <w:color w:val="000000" w:themeColor="text1"/>
                <w:sz w:val="24"/>
                <w:szCs w:val="24"/>
              </w:rPr>
            </w:pPr>
          </w:p>
        </w:tc>
        <w:tc>
          <w:tcPr>
            <w:tcW w:w="639" w:type="dxa"/>
            <w:vMerge w:val="continue"/>
            <w:vAlign w:val="center"/>
          </w:tcPr>
          <w:p>
            <w:pPr>
              <w:spacing w:before="0" w:after="0" w:line="440" w:lineRule="exact"/>
              <w:jc w:val="left"/>
              <w:rPr>
                <w:rFonts w:ascii="Times New Roman" w:hAnsi="Times New Roman"/>
                <w:bCs/>
                <w:color w:val="000000" w:themeColor="text1"/>
                <w:sz w:val="24"/>
                <w:szCs w:val="24"/>
              </w:rPr>
            </w:pPr>
          </w:p>
        </w:tc>
      </w:tr>
    </w:tbl>
    <w:p>
      <w:pPr>
        <w:pStyle w:val="4"/>
        <w:widowControl/>
        <w:spacing w:before="240" w:after="60" w:line="240" w:lineRule="auto"/>
        <w:jc w:val="left"/>
        <w:rPr>
          <w:rFonts w:eastAsia="黑体"/>
          <w:bCs/>
          <w:color w:val="000000" w:themeColor="text1"/>
          <w:sz w:val="30"/>
          <w:szCs w:val="30"/>
          <w:lang w:bidi="en-US"/>
        </w:rPr>
      </w:pPr>
      <w:bookmarkStart w:id="122" w:name="_Toc330913291"/>
      <w:r>
        <w:rPr>
          <w:rFonts w:hint="eastAsia" w:eastAsia="黑体"/>
          <w:bCs/>
          <w:color w:val="000000" w:themeColor="text1"/>
          <w:sz w:val="30"/>
          <w:szCs w:val="30"/>
          <w:lang w:bidi="en-US"/>
        </w:rPr>
        <w:t>2.2.4农村物流网络体系</w:t>
      </w:r>
      <w:r>
        <w:rPr>
          <w:rFonts w:eastAsia="黑体"/>
          <w:bCs/>
          <w:color w:val="000000" w:themeColor="text1"/>
          <w:sz w:val="30"/>
          <w:szCs w:val="30"/>
          <w:lang w:bidi="en-US"/>
        </w:rPr>
        <w:t>规划方案对比分析</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泉州台商投资区</w:t>
      </w:r>
      <w:r>
        <w:rPr>
          <w:rFonts w:hint="eastAsia"/>
          <w:color w:val="000000" w:themeColor="text1"/>
          <w:kern w:val="0"/>
          <w:sz w:val="28"/>
        </w:rPr>
        <w:t>农村物流网络体系</w:t>
      </w:r>
      <w:r>
        <w:rPr>
          <w:color w:val="000000" w:themeColor="text1"/>
          <w:kern w:val="0"/>
          <w:sz w:val="28"/>
        </w:rPr>
        <w:t>规划近期、中远期规划的评价结果对比如</w:t>
      </w:r>
      <w:r>
        <w:rPr>
          <w:rFonts w:hint="eastAsia"/>
          <w:color w:val="000000" w:themeColor="text1"/>
          <w:kern w:val="0"/>
          <w:sz w:val="28"/>
        </w:rPr>
        <w:t>表2-6</w:t>
      </w:r>
      <w:r>
        <w:rPr>
          <w:color w:val="000000" w:themeColor="text1"/>
          <w:kern w:val="0"/>
          <w:sz w:val="28"/>
        </w:rPr>
        <w:t>所示。</w:t>
      </w:r>
      <w:bookmarkStart w:id="123" w:name="_Ref334428689"/>
      <w:bookmarkStart w:id="124" w:name="_Toc334006137"/>
      <w:bookmarkStart w:id="125" w:name="_Toc334639859"/>
      <w:bookmarkStart w:id="126" w:name="_Toc470272596"/>
    </w:p>
    <w:p>
      <w:pPr>
        <w:snapToGrid w:val="0"/>
        <w:spacing w:before="0" w:after="0" w:line="360" w:lineRule="auto"/>
        <w:ind w:left="576" w:hanging="576" w:hangingChars="239"/>
        <w:jc w:val="center"/>
        <w:rPr>
          <w:color w:val="000000" w:themeColor="text1"/>
          <w:kern w:val="0"/>
          <w:sz w:val="28"/>
        </w:rPr>
      </w:pPr>
      <w:r>
        <w:rPr>
          <w:rFonts w:ascii="Times New Roman" w:hAnsi="Times New Roman"/>
          <w:b/>
          <w:color w:val="000000" w:themeColor="text1"/>
          <w:sz w:val="24"/>
          <w:szCs w:val="24"/>
        </w:rPr>
        <w:t>表</w:t>
      </w:r>
      <w:r>
        <w:rPr>
          <w:rFonts w:hint="eastAsia" w:ascii="Times New Roman" w:hAnsi="Times New Roman"/>
          <w:b/>
          <w:color w:val="000000" w:themeColor="text1"/>
          <w:sz w:val="24"/>
          <w:szCs w:val="24"/>
        </w:rPr>
        <w:t>2</w:t>
      </w:r>
      <w:r>
        <w:rPr>
          <w:rFonts w:ascii="Times New Roman" w:hAnsi="Times New Roman"/>
          <w:b/>
          <w:color w:val="000000" w:themeColor="text1"/>
          <w:sz w:val="24"/>
          <w:szCs w:val="24"/>
        </w:rPr>
        <w:noBreakHyphen/>
      </w:r>
      <w:r>
        <w:rPr>
          <w:rFonts w:ascii="Times New Roman" w:hAnsi="Times New Roman"/>
          <w:b/>
          <w:color w:val="000000" w:themeColor="text1"/>
          <w:sz w:val="24"/>
          <w:szCs w:val="24"/>
        </w:rPr>
        <w:fldChar w:fldCharType="begin"/>
      </w:r>
      <w:r>
        <w:rPr>
          <w:rFonts w:ascii="Times New Roman" w:hAnsi="Times New Roman"/>
          <w:b/>
          <w:color w:val="000000" w:themeColor="text1"/>
          <w:sz w:val="24"/>
          <w:szCs w:val="24"/>
        </w:rPr>
        <w:instrText xml:space="preserve"> SEQ 表 \* ARABIC \s 1 </w:instrText>
      </w:r>
      <w:r>
        <w:rPr>
          <w:rFonts w:ascii="Times New Roman" w:hAnsi="Times New Roman"/>
          <w:b/>
          <w:color w:val="000000" w:themeColor="text1"/>
          <w:sz w:val="24"/>
          <w:szCs w:val="24"/>
        </w:rPr>
        <w:fldChar w:fldCharType="separate"/>
      </w:r>
      <w:r>
        <w:rPr>
          <w:rFonts w:ascii="Times New Roman" w:hAnsi="Times New Roman"/>
          <w:b/>
          <w:color w:val="000000" w:themeColor="text1"/>
          <w:sz w:val="24"/>
          <w:szCs w:val="24"/>
        </w:rPr>
        <w:t>8</w:t>
      </w:r>
      <w:r>
        <w:rPr>
          <w:rFonts w:ascii="Times New Roman" w:hAnsi="Times New Roman"/>
          <w:b/>
          <w:color w:val="000000" w:themeColor="text1"/>
          <w:sz w:val="24"/>
          <w:szCs w:val="24"/>
        </w:rPr>
        <w:fldChar w:fldCharType="end"/>
      </w:r>
      <w:bookmarkEnd w:id="123"/>
      <w:r>
        <w:rPr>
          <w:rFonts w:ascii="Times New Roman" w:hAnsi="Times New Roman"/>
          <w:b/>
          <w:color w:val="000000" w:themeColor="text1"/>
          <w:sz w:val="24"/>
          <w:szCs w:val="24"/>
        </w:rPr>
        <w:t>现状与近中远期规划方案评价结果对比</w:t>
      </w:r>
      <w:bookmarkEnd w:id="124"/>
      <w:bookmarkEnd w:id="125"/>
      <w:bookmarkEnd w:id="126"/>
    </w:p>
    <w:tbl>
      <w:tblPr>
        <w:tblStyle w:val="18"/>
        <w:tblW w:w="8505"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
      <w:tblGrid>
        <w:gridCol w:w="1701"/>
        <w:gridCol w:w="1276"/>
        <w:gridCol w:w="3025"/>
        <w:gridCol w:w="2503"/>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298" w:hRule="atLeast"/>
          <w:jc w:val="center"/>
        </w:trPr>
        <w:tc>
          <w:tcPr>
            <w:tcW w:w="1701" w:type="dxa"/>
            <w:vMerge w:val="restart"/>
            <w:vAlign w:val="center"/>
          </w:tcPr>
          <w:p>
            <w:pPr>
              <w:spacing w:before="0" w:after="0" w:line="36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子系统</w:t>
            </w:r>
          </w:p>
        </w:tc>
        <w:tc>
          <w:tcPr>
            <w:tcW w:w="1276" w:type="dxa"/>
            <w:vMerge w:val="restart"/>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现状</w:t>
            </w:r>
          </w:p>
        </w:tc>
        <w:tc>
          <w:tcPr>
            <w:tcW w:w="5528" w:type="dxa"/>
            <w:gridSpan w:val="2"/>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规划期</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314" w:hRule="atLeast"/>
          <w:jc w:val="center"/>
        </w:trPr>
        <w:tc>
          <w:tcPr>
            <w:tcW w:w="1701" w:type="dxa"/>
            <w:vMerge w:val="continue"/>
            <w:vAlign w:val="center"/>
          </w:tcPr>
          <w:p>
            <w:pPr>
              <w:spacing w:before="0" w:after="0" w:line="300" w:lineRule="auto"/>
              <w:ind w:left="0" w:firstLine="0"/>
              <w:jc w:val="center"/>
              <w:rPr>
                <w:rFonts w:ascii="Times New Roman" w:hAnsi="Times New Roman"/>
                <w:b/>
                <w:bCs/>
                <w:color w:val="000000" w:themeColor="text1"/>
                <w:kern w:val="0"/>
                <w:szCs w:val="22"/>
              </w:rPr>
            </w:pPr>
          </w:p>
        </w:tc>
        <w:tc>
          <w:tcPr>
            <w:tcW w:w="1276" w:type="dxa"/>
            <w:vMerge w:val="continue"/>
          </w:tcPr>
          <w:p>
            <w:pPr>
              <w:spacing w:before="0" w:after="0" w:line="300" w:lineRule="auto"/>
              <w:ind w:left="0" w:firstLine="0"/>
              <w:jc w:val="center"/>
              <w:rPr>
                <w:rFonts w:ascii="Times New Roman" w:hAnsi="Times New Roman"/>
                <w:b/>
                <w:bCs/>
                <w:color w:val="000000" w:themeColor="text1"/>
                <w:kern w:val="0"/>
                <w:szCs w:val="22"/>
              </w:rPr>
            </w:pPr>
          </w:p>
        </w:tc>
        <w:tc>
          <w:tcPr>
            <w:tcW w:w="3025"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近期</w:t>
            </w:r>
          </w:p>
        </w:tc>
        <w:tc>
          <w:tcPr>
            <w:tcW w:w="2503" w:type="dxa"/>
            <w:vAlign w:val="center"/>
          </w:tcPr>
          <w:p>
            <w:pPr>
              <w:spacing w:before="0" w:after="0" w:line="300" w:lineRule="auto"/>
              <w:ind w:left="0" w:firstLine="0"/>
              <w:jc w:val="center"/>
              <w:rPr>
                <w:rFonts w:ascii="Times New Roman" w:hAnsi="Times New Roman"/>
                <w:b/>
                <w:bCs/>
                <w:color w:val="000000" w:themeColor="text1"/>
                <w:kern w:val="0"/>
                <w:szCs w:val="22"/>
              </w:rPr>
            </w:pPr>
            <w:r>
              <w:rPr>
                <w:rFonts w:ascii="Times New Roman" w:hAnsi="Times New Roman"/>
                <w:b/>
                <w:bCs/>
                <w:color w:val="000000" w:themeColor="text1"/>
                <w:kern w:val="0"/>
                <w:szCs w:val="22"/>
              </w:rPr>
              <w:t>中远期</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478" w:hRule="atLeast"/>
          <w:jc w:val="center"/>
        </w:trPr>
        <w:tc>
          <w:tcPr>
            <w:tcW w:w="1701"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网点</w:t>
            </w:r>
            <w:r>
              <w:rPr>
                <w:rFonts w:ascii="Times New Roman" w:hAnsi="Times New Roman"/>
                <w:color w:val="000000" w:themeColor="text1"/>
                <w:sz w:val="24"/>
                <w:szCs w:val="24"/>
              </w:rPr>
              <w:t>结构</w:t>
            </w:r>
          </w:p>
        </w:tc>
        <w:tc>
          <w:tcPr>
            <w:tcW w:w="1276" w:type="dxa"/>
            <w:vAlign w:val="center"/>
          </w:tcPr>
          <w:p>
            <w:pPr>
              <w:widowControl/>
              <w:spacing w:before="0" w:after="0" w:line="240" w:lineRule="auto"/>
              <w:jc w:val="center"/>
              <w:rPr>
                <w:rFonts w:ascii="宋体" w:hAnsi="宋体"/>
                <w:color w:val="000000" w:themeColor="text1"/>
                <w:kern w:val="0"/>
                <w:sz w:val="22"/>
                <w:szCs w:val="22"/>
              </w:rPr>
            </w:pPr>
            <w:r>
              <w:rPr>
                <w:rFonts w:hint="eastAsia"/>
                <w:color w:val="000000" w:themeColor="text1"/>
                <w:sz w:val="22"/>
                <w:szCs w:val="22"/>
              </w:rPr>
              <w:t xml:space="preserve">0.52 </w:t>
            </w:r>
          </w:p>
        </w:tc>
        <w:tc>
          <w:tcPr>
            <w:tcW w:w="3025" w:type="dxa"/>
            <w:vAlign w:val="center"/>
          </w:tcPr>
          <w:p>
            <w:pPr>
              <w:widowControl/>
              <w:spacing w:before="0" w:after="0" w:line="240" w:lineRule="auto"/>
              <w:jc w:val="center"/>
              <w:rPr>
                <w:color w:val="000000" w:themeColor="text1"/>
                <w:sz w:val="22"/>
                <w:szCs w:val="22"/>
              </w:rPr>
            </w:pPr>
            <w:r>
              <w:rPr>
                <w:rFonts w:hint="eastAsia"/>
                <w:color w:val="000000" w:themeColor="text1"/>
                <w:sz w:val="22"/>
                <w:szCs w:val="22"/>
              </w:rPr>
              <w:t>0.76</w:t>
            </w:r>
          </w:p>
        </w:tc>
        <w:tc>
          <w:tcPr>
            <w:tcW w:w="250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0.93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jc w:val="center"/>
        </w:trPr>
        <w:tc>
          <w:tcPr>
            <w:tcW w:w="1701"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设施水平</w:t>
            </w:r>
          </w:p>
        </w:tc>
        <w:tc>
          <w:tcPr>
            <w:tcW w:w="1276" w:type="dxa"/>
            <w:vAlign w:val="center"/>
          </w:tcPr>
          <w:p>
            <w:pPr>
              <w:spacing w:before="0" w:after="0" w:line="240" w:lineRule="auto"/>
              <w:ind w:left="0" w:firstLine="0"/>
              <w:jc w:val="center"/>
              <w:rPr>
                <w:rFonts w:ascii="Times New Roman" w:hAnsi="Times New Roman"/>
                <w:color w:val="000000" w:themeColor="text1"/>
                <w:sz w:val="24"/>
                <w:szCs w:val="24"/>
              </w:rPr>
            </w:pPr>
            <w:r>
              <w:rPr>
                <w:rFonts w:hint="eastAsia"/>
                <w:color w:val="000000" w:themeColor="text1"/>
                <w:sz w:val="22"/>
                <w:szCs w:val="22"/>
              </w:rPr>
              <w:t>0.39</w:t>
            </w:r>
          </w:p>
        </w:tc>
        <w:tc>
          <w:tcPr>
            <w:tcW w:w="3025" w:type="dxa"/>
            <w:vAlign w:val="center"/>
          </w:tcPr>
          <w:p>
            <w:pPr>
              <w:spacing w:before="0" w:after="0" w:line="480" w:lineRule="exact"/>
              <w:jc w:val="center"/>
              <w:rPr>
                <w:rFonts w:ascii="Times New Roman" w:hAnsi="Times New Roman"/>
                <w:color w:val="000000" w:themeColor="text1"/>
                <w:sz w:val="24"/>
                <w:szCs w:val="24"/>
              </w:rPr>
            </w:pPr>
            <w:r>
              <w:rPr>
                <w:rFonts w:hint="eastAsia"/>
                <w:color w:val="000000" w:themeColor="text1"/>
                <w:sz w:val="22"/>
                <w:szCs w:val="22"/>
              </w:rPr>
              <w:t>0.72</w:t>
            </w:r>
          </w:p>
        </w:tc>
        <w:tc>
          <w:tcPr>
            <w:tcW w:w="250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0.95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jc w:val="center"/>
        </w:trPr>
        <w:tc>
          <w:tcPr>
            <w:tcW w:w="1701"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服务质量</w:t>
            </w:r>
          </w:p>
        </w:tc>
        <w:tc>
          <w:tcPr>
            <w:tcW w:w="1276" w:type="dxa"/>
            <w:vAlign w:val="center"/>
          </w:tcPr>
          <w:p>
            <w:pPr>
              <w:spacing w:before="0" w:after="0" w:line="240" w:lineRule="auto"/>
              <w:ind w:left="0" w:firstLine="0"/>
              <w:jc w:val="center"/>
              <w:rPr>
                <w:rFonts w:ascii="Times New Roman" w:hAnsi="Times New Roman"/>
                <w:color w:val="000000" w:themeColor="text1"/>
                <w:sz w:val="24"/>
                <w:szCs w:val="24"/>
              </w:rPr>
            </w:pPr>
            <w:r>
              <w:rPr>
                <w:rFonts w:hint="eastAsia"/>
                <w:color w:val="000000" w:themeColor="text1"/>
                <w:sz w:val="22"/>
                <w:szCs w:val="22"/>
              </w:rPr>
              <w:t>0.66</w:t>
            </w:r>
          </w:p>
        </w:tc>
        <w:tc>
          <w:tcPr>
            <w:tcW w:w="3025" w:type="dxa"/>
            <w:vAlign w:val="center"/>
          </w:tcPr>
          <w:p>
            <w:pPr>
              <w:spacing w:before="0" w:after="0" w:line="480" w:lineRule="exact"/>
              <w:jc w:val="center"/>
              <w:rPr>
                <w:rFonts w:ascii="Times New Roman" w:hAnsi="Times New Roman"/>
                <w:color w:val="000000" w:themeColor="text1"/>
                <w:sz w:val="24"/>
                <w:szCs w:val="24"/>
              </w:rPr>
            </w:pPr>
            <w:r>
              <w:rPr>
                <w:rFonts w:hint="eastAsia"/>
                <w:color w:val="000000" w:themeColor="text1"/>
                <w:sz w:val="22"/>
                <w:szCs w:val="22"/>
              </w:rPr>
              <w:t>0.77</w:t>
            </w:r>
          </w:p>
        </w:tc>
        <w:tc>
          <w:tcPr>
            <w:tcW w:w="250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0.91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12" w:space="0"/>
            <w:insideV w:val="single" w:color="auto" w:sz="12" w:space="0"/>
          </w:tblBorders>
          <w:tblLayout w:type="fixed"/>
          <w:tblCellMar>
            <w:top w:w="0" w:type="dxa"/>
            <w:left w:w="108" w:type="dxa"/>
            <w:bottom w:w="0" w:type="dxa"/>
            <w:right w:w="108" w:type="dxa"/>
          </w:tblCellMar>
        </w:tblPrEx>
        <w:trPr>
          <w:trHeight w:val="502" w:hRule="atLeast"/>
          <w:jc w:val="center"/>
        </w:trPr>
        <w:tc>
          <w:tcPr>
            <w:tcW w:w="1701" w:type="dxa"/>
            <w:vAlign w:val="center"/>
          </w:tcPr>
          <w:p>
            <w:pPr>
              <w:spacing w:before="0" w:after="0" w:line="360" w:lineRule="auto"/>
              <w:ind w:left="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总评分</w:t>
            </w:r>
          </w:p>
        </w:tc>
        <w:tc>
          <w:tcPr>
            <w:tcW w:w="1276" w:type="dxa"/>
            <w:vAlign w:val="center"/>
          </w:tcPr>
          <w:p>
            <w:pPr>
              <w:spacing w:before="0" w:after="0" w:line="240" w:lineRule="auto"/>
              <w:jc w:val="center"/>
              <w:rPr>
                <w:color w:val="000000" w:themeColor="text1"/>
                <w:sz w:val="22"/>
                <w:szCs w:val="22"/>
              </w:rPr>
            </w:pPr>
            <w:r>
              <w:rPr>
                <w:rFonts w:hint="eastAsia"/>
                <w:color w:val="000000" w:themeColor="text1"/>
                <w:sz w:val="22"/>
                <w:szCs w:val="22"/>
              </w:rPr>
              <w:t>0.51</w:t>
            </w:r>
          </w:p>
        </w:tc>
        <w:tc>
          <w:tcPr>
            <w:tcW w:w="3025" w:type="dxa"/>
            <w:vAlign w:val="center"/>
          </w:tcPr>
          <w:p>
            <w:pPr>
              <w:widowControl/>
              <w:spacing w:before="0" w:after="0" w:line="240" w:lineRule="auto"/>
              <w:jc w:val="center"/>
              <w:rPr>
                <w:color w:val="000000" w:themeColor="text1"/>
                <w:sz w:val="22"/>
                <w:szCs w:val="22"/>
              </w:rPr>
            </w:pPr>
            <w:r>
              <w:rPr>
                <w:rFonts w:hint="eastAsia"/>
                <w:color w:val="000000" w:themeColor="text1"/>
                <w:sz w:val="22"/>
                <w:szCs w:val="22"/>
              </w:rPr>
              <w:t>0.75</w:t>
            </w:r>
          </w:p>
        </w:tc>
        <w:tc>
          <w:tcPr>
            <w:tcW w:w="2503" w:type="dxa"/>
            <w:vAlign w:val="center"/>
          </w:tcPr>
          <w:p>
            <w:pPr>
              <w:spacing w:before="0" w:after="0" w:line="360" w:lineRule="auto"/>
              <w:ind w:left="0" w:firstLine="0"/>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0.93</w:t>
            </w:r>
          </w:p>
        </w:tc>
      </w:tr>
    </w:tbl>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以上述数据为基础，对规划近期、中远期</w:t>
      </w:r>
      <w:r>
        <w:rPr>
          <w:rFonts w:hint="eastAsia"/>
          <w:color w:val="000000" w:themeColor="text1"/>
          <w:kern w:val="0"/>
          <w:sz w:val="28"/>
        </w:rPr>
        <w:t>农村物流网络体系</w:t>
      </w:r>
      <w:r>
        <w:rPr>
          <w:color w:val="000000" w:themeColor="text1"/>
          <w:kern w:val="0"/>
          <w:sz w:val="28"/>
        </w:rPr>
        <w:t>规划方案评价分析如下：</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（1）近期规划对现状有较大改善</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从表中数据可以看出，通过近期规划，</w:t>
      </w:r>
      <w:r>
        <w:rPr>
          <w:rFonts w:hint="eastAsia"/>
          <w:color w:val="000000" w:themeColor="text1"/>
          <w:kern w:val="0"/>
          <w:sz w:val="28"/>
        </w:rPr>
        <w:t>泉州台商投资区农村物流网络体系</w:t>
      </w:r>
      <w:r>
        <w:rPr>
          <w:color w:val="000000" w:themeColor="text1"/>
          <w:kern w:val="0"/>
          <w:sz w:val="28"/>
        </w:rPr>
        <w:t>的</w:t>
      </w:r>
      <w:r>
        <w:rPr>
          <w:rFonts w:hint="eastAsia"/>
          <w:color w:val="000000" w:themeColor="text1"/>
          <w:kern w:val="0"/>
          <w:sz w:val="28"/>
        </w:rPr>
        <w:t>网点</w:t>
      </w:r>
      <w:r>
        <w:rPr>
          <w:color w:val="000000" w:themeColor="text1"/>
          <w:kern w:val="0"/>
          <w:sz w:val="28"/>
        </w:rPr>
        <w:t>结构、设施水平和服务质量均得到明显改善，将显著增加</w:t>
      </w:r>
      <w:r>
        <w:rPr>
          <w:rFonts w:hint="eastAsia"/>
          <w:color w:val="000000" w:themeColor="text1"/>
          <w:kern w:val="0"/>
          <w:sz w:val="28"/>
        </w:rPr>
        <w:t>农村物流</w:t>
      </w:r>
      <w:r>
        <w:rPr>
          <w:color w:val="000000" w:themeColor="text1"/>
          <w:kern w:val="0"/>
          <w:sz w:val="28"/>
        </w:rPr>
        <w:t>的</w:t>
      </w:r>
      <w:r>
        <w:rPr>
          <w:rFonts w:hint="eastAsia"/>
          <w:color w:val="000000" w:themeColor="text1"/>
          <w:kern w:val="0"/>
          <w:sz w:val="28"/>
        </w:rPr>
        <w:t>服务能力</w:t>
      </w:r>
      <w:r>
        <w:rPr>
          <w:color w:val="000000" w:themeColor="text1"/>
          <w:kern w:val="0"/>
          <w:sz w:val="28"/>
        </w:rPr>
        <w:t>。</w:t>
      </w:r>
    </w:p>
    <w:p>
      <w:pPr>
        <w:snapToGrid w:val="0"/>
        <w:spacing w:before="0" w:after="0" w:line="360" w:lineRule="auto"/>
        <w:ind w:left="0" w:firstLine="560" w:firstLineChars="200"/>
        <w:jc w:val="left"/>
        <w:rPr>
          <w:color w:val="000000" w:themeColor="text1"/>
          <w:kern w:val="0"/>
          <w:sz w:val="28"/>
        </w:rPr>
      </w:pPr>
      <w:bookmarkStart w:id="127" w:name="_Toc363835490"/>
      <w:bookmarkStart w:id="128" w:name="_Toc361685504"/>
      <w:bookmarkStart w:id="129" w:name="_Toc403138549"/>
      <w:bookmarkStart w:id="130" w:name="_Toc370026254"/>
      <w:bookmarkStart w:id="131" w:name="_Toc361657963"/>
      <w:bookmarkStart w:id="132" w:name="_Toc375485177"/>
      <w:bookmarkStart w:id="133" w:name="_Toc370842146"/>
      <w:bookmarkStart w:id="134" w:name="_Toc342775105"/>
      <w:bookmarkStart w:id="135" w:name="_Toc337462317"/>
      <w:r>
        <w:rPr>
          <w:color w:val="000000" w:themeColor="text1"/>
          <w:kern w:val="0"/>
          <w:sz w:val="28"/>
        </w:rPr>
        <w:t>（2）规划期的</w:t>
      </w:r>
      <w:r>
        <w:rPr>
          <w:rFonts w:hint="eastAsia"/>
          <w:color w:val="000000" w:themeColor="text1"/>
          <w:kern w:val="0"/>
          <w:sz w:val="28"/>
        </w:rPr>
        <w:t>网点</w:t>
      </w:r>
      <w:r>
        <w:rPr>
          <w:color w:val="000000" w:themeColor="text1"/>
          <w:kern w:val="0"/>
          <w:sz w:val="28"/>
        </w:rPr>
        <w:t>结构基本没有较大变化</w:t>
      </w:r>
      <w:bookmarkEnd w:id="127"/>
      <w:bookmarkEnd w:id="128"/>
      <w:bookmarkEnd w:id="129"/>
      <w:bookmarkEnd w:id="130"/>
      <w:bookmarkEnd w:id="131"/>
      <w:bookmarkEnd w:id="132"/>
      <w:bookmarkEnd w:id="133"/>
      <w:bookmarkEnd w:id="134"/>
      <w:bookmarkEnd w:id="135"/>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近期泉州台商投资区外围组团内处于建设和完善阶段，部分</w:t>
      </w:r>
      <w:r>
        <w:rPr>
          <w:rFonts w:hint="eastAsia"/>
          <w:color w:val="000000" w:themeColor="text1"/>
          <w:kern w:val="0"/>
          <w:sz w:val="28"/>
        </w:rPr>
        <w:t>农村人口较少，物流量不大，</w:t>
      </w:r>
      <w:r>
        <w:rPr>
          <w:color w:val="000000" w:themeColor="text1"/>
          <w:kern w:val="0"/>
          <w:sz w:val="28"/>
        </w:rPr>
        <w:t>不适合开通</w:t>
      </w:r>
      <w:r>
        <w:rPr>
          <w:rFonts w:hint="eastAsia"/>
          <w:color w:val="000000" w:themeColor="text1"/>
          <w:kern w:val="0"/>
          <w:sz w:val="28"/>
        </w:rPr>
        <w:t>物流网点</w:t>
      </w:r>
      <w:r>
        <w:rPr>
          <w:color w:val="000000" w:themeColor="text1"/>
          <w:kern w:val="0"/>
          <w:sz w:val="28"/>
        </w:rPr>
        <w:t>。随着</w:t>
      </w:r>
      <w:r>
        <w:rPr>
          <w:rFonts w:hint="eastAsia"/>
          <w:color w:val="000000" w:themeColor="text1"/>
          <w:kern w:val="0"/>
          <w:sz w:val="28"/>
        </w:rPr>
        <w:t>经济的发展</w:t>
      </w:r>
      <w:r>
        <w:rPr>
          <w:color w:val="000000" w:themeColor="text1"/>
          <w:kern w:val="0"/>
          <w:sz w:val="28"/>
        </w:rPr>
        <w:t>及相关基础设施的不断完善，在必要的</w:t>
      </w:r>
      <w:r>
        <w:rPr>
          <w:rFonts w:hint="eastAsia"/>
          <w:color w:val="000000" w:themeColor="text1"/>
          <w:kern w:val="0"/>
          <w:sz w:val="28"/>
        </w:rPr>
        <w:t>农村</w:t>
      </w:r>
      <w:r>
        <w:rPr>
          <w:color w:val="000000" w:themeColor="text1"/>
          <w:kern w:val="0"/>
          <w:sz w:val="28"/>
        </w:rPr>
        <w:t>上开通</w:t>
      </w:r>
      <w:r>
        <w:rPr>
          <w:rFonts w:hint="eastAsia"/>
          <w:color w:val="000000" w:themeColor="text1"/>
          <w:kern w:val="0"/>
          <w:sz w:val="28"/>
        </w:rPr>
        <w:t>网点</w:t>
      </w:r>
      <w:r>
        <w:rPr>
          <w:color w:val="000000" w:themeColor="text1"/>
          <w:kern w:val="0"/>
          <w:sz w:val="28"/>
        </w:rPr>
        <w:t>满足居民的</w:t>
      </w:r>
      <w:r>
        <w:rPr>
          <w:rFonts w:hint="eastAsia"/>
          <w:color w:val="000000" w:themeColor="text1"/>
          <w:kern w:val="0"/>
          <w:sz w:val="28"/>
        </w:rPr>
        <w:t>物流</w:t>
      </w:r>
      <w:r>
        <w:rPr>
          <w:color w:val="000000" w:themeColor="text1"/>
          <w:kern w:val="0"/>
          <w:sz w:val="28"/>
        </w:rPr>
        <w:t>需求成为中远期规划的首要目标。因此中远期规划主要是在近期方案的基础上配合规划道路和土地利用，进一步增加</w:t>
      </w:r>
      <w:r>
        <w:rPr>
          <w:rFonts w:hint="eastAsia"/>
          <w:color w:val="000000" w:themeColor="text1"/>
          <w:kern w:val="0"/>
          <w:sz w:val="28"/>
        </w:rPr>
        <w:t>物流网点</w:t>
      </w:r>
      <w:r>
        <w:rPr>
          <w:color w:val="000000" w:themeColor="text1"/>
          <w:kern w:val="0"/>
          <w:sz w:val="28"/>
        </w:rPr>
        <w:t>。</w:t>
      </w:r>
    </w:p>
    <w:p>
      <w:pPr>
        <w:snapToGrid w:val="0"/>
        <w:spacing w:before="0" w:after="0" w:line="360" w:lineRule="auto"/>
        <w:ind w:left="0" w:firstLine="560" w:firstLineChars="200"/>
        <w:jc w:val="left"/>
        <w:rPr>
          <w:color w:val="000000" w:themeColor="text1"/>
          <w:kern w:val="0"/>
          <w:sz w:val="28"/>
        </w:rPr>
      </w:pPr>
      <w:bookmarkStart w:id="136" w:name="_Toc342775106"/>
      <w:bookmarkStart w:id="137" w:name="_Toc361657964"/>
      <w:bookmarkStart w:id="138" w:name="_Toc375485178"/>
      <w:bookmarkStart w:id="139" w:name="_Toc403138550"/>
      <w:bookmarkStart w:id="140" w:name="_Toc337462318"/>
      <w:bookmarkStart w:id="141" w:name="_Toc370026255"/>
      <w:bookmarkStart w:id="142" w:name="_Toc361685505"/>
      <w:bookmarkStart w:id="143" w:name="_Toc363835491"/>
      <w:bookmarkStart w:id="144" w:name="_Toc370842147"/>
      <w:r>
        <w:rPr>
          <w:color w:val="000000" w:themeColor="text1"/>
          <w:kern w:val="0"/>
          <w:sz w:val="28"/>
        </w:rPr>
        <w:t>（3）中远期的</w:t>
      </w:r>
      <w:r>
        <w:rPr>
          <w:rFonts w:hint="eastAsia"/>
          <w:color w:val="000000" w:themeColor="text1"/>
          <w:kern w:val="0"/>
          <w:sz w:val="28"/>
        </w:rPr>
        <w:t>网点</w:t>
      </w:r>
      <w:r>
        <w:rPr>
          <w:color w:val="000000" w:themeColor="text1"/>
          <w:kern w:val="0"/>
          <w:sz w:val="28"/>
        </w:rPr>
        <w:t>设施水平较规划近期有所提高</w:t>
      </w:r>
      <w:bookmarkEnd w:id="136"/>
      <w:bookmarkEnd w:id="137"/>
      <w:bookmarkEnd w:id="138"/>
      <w:bookmarkEnd w:id="139"/>
      <w:bookmarkEnd w:id="140"/>
      <w:bookmarkEnd w:id="141"/>
      <w:bookmarkEnd w:id="142"/>
      <w:bookmarkEnd w:id="143"/>
      <w:bookmarkEnd w:id="144"/>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中远期规划在近期的基础上增设了</w:t>
      </w:r>
      <w:r>
        <w:rPr>
          <w:rFonts w:hint="eastAsia"/>
          <w:color w:val="000000" w:themeColor="text1"/>
          <w:kern w:val="0"/>
          <w:sz w:val="28"/>
        </w:rPr>
        <w:t>19个农村物流网点</w:t>
      </w:r>
      <w:r>
        <w:rPr>
          <w:color w:val="000000" w:themeColor="text1"/>
          <w:kern w:val="0"/>
          <w:sz w:val="28"/>
        </w:rPr>
        <w:t>，覆盖面涵盖整个</w:t>
      </w:r>
      <w:r>
        <w:rPr>
          <w:rFonts w:hint="eastAsia"/>
          <w:color w:val="000000" w:themeColor="text1"/>
          <w:kern w:val="0"/>
          <w:sz w:val="28"/>
        </w:rPr>
        <w:t>台商投资区</w:t>
      </w:r>
      <w:r>
        <w:rPr>
          <w:color w:val="000000" w:themeColor="text1"/>
          <w:kern w:val="0"/>
          <w:sz w:val="28"/>
        </w:rPr>
        <w:t>，基本实现了中心城区外围组团各个方位与中心组团的</w:t>
      </w:r>
      <w:r>
        <w:rPr>
          <w:rFonts w:hint="eastAsia"/>
          <w:color w:val="000000" w:themeColor="text1"/>
          <w:kern w:val="0"/>
          <w:sz w:val="28"/>
        </w:rPr>
        <w:t>配合</w:t>
      </w:r>
      <w:r>
        <w:rPr>
          <w:color w:val="000000" w:themeColor="text1"/>
          <w:kern w:val="0"/>
          <w:sz w:val="28"/>
        </w:rPr>
        <w:t>。同时</w:t>
      </w:r>
      <w:r>
        <w:rPr>
          <w:rFonts w:hint="eastAsia"/>
          <w:color w:val="000000" w:themeColor="text1"/>
          <w:kern w:val="0"/>
          <w:sz w:val="28"/>
        </w:rPr>
        <w:t>城区</w:t>
      </w:r>
      <w:r>
        <w:rPr>
          <w:color w:val="000000" w:themeColor="text1"/>
          <w:kern w:val="0"/>
          <w:sz w:val="28"/>
        </w:rPr>
        <w:t>主要</w:t>
      </w:r>
      <w:r>
        <w:rPr>
          <w:rFonts w:hint="eastAsia"/>
          <w:color w:val="000000" w:themeColor="text1"/>
          <w:kern w:val="0"/>
          <w:sz w:val="28"/>
        </w:rPr>
        <w:t>地区</w:t>
      </w:r>
      <w:r>
        <w:rPr>
          <w:color w:val="000000" w:themeColor="text1"/>
          <w:kern w:val="0"/>
          <w:sz w:val="28"/>
        </w:rPr>
        <w:t>上均有一定数量的</w:t>
      </w:r>
      <w:r>
        <w:rPr>
          <w:rFonts w:hint="eastAsia"/>
          <w:color w:val="000000" w:themeColor="text1"/>
          <w:kern w:val="0"/>
          <w:sz w:val="28"/>
        </w:rPr>
        <w:t>物流网点</w:t>
      </w:r>
      <w:r>
        <w:rPr>
          <w:color w:val="000000" w:themeColor="text1"/>
          <w:kern w:val="0"/>
          <w:sz w:val="28"/>
        </w:rPr>
        <w:t>，提高了</w:t>
      </w:r>
      <w:r>
        <w:rPr>
          <w:rFonts w:hint="eastAsia"/>
          <w:color w:val="000000" w:themeColor="text1"/>
          <w:kern w:val="0"/>
          <w:sz w:val="28"/>
        </w:rPr>
        <w:t>网点</w:t>
      </w:r>
      <w:r>
        <w:rPr>
          <w:color w:val="000000" w:themeColor="text1"/>
          <w:kern w:val="0"/>
          <w:sz w:val="28"/>
        </w:rPr>
        <w:t>覆盖率、</w:t>
      </w:r>
      <w:r>
        <w:rPr>
          <w:rFonts w:hint="eastAsia"/>
          <w:color w:val="000000" w:themeColor="text1"/>
          <w:kern w:val="0"/>
          <w:sz w:val="28"/>
        </w:rPr>
        <w:t>网点</w:t>
      </w:r>
      <w:r>
        <w:rPr>
          <w:color w:val="000000" w:themeColor="text1"/>
          <w:kern w:val="0"/>
          <w:sz w:val="28"/>
        </w:rPr>
        <w:t>覆盖率和</w:t>
      </w:r>
      <w:r>
        <w:rPr>
          <w:rFonts w:hint="eastAsia"/>
          <w:color w:val="000000" w:themeColor="text1"/>
          <w:kern w:val="0"/>
          <w:sz w:val="28"/>
        </w:rPr>
        <w:t>网点</w:t>
      </w:r>
      <w:r>
        <w:rPr>
          <w:color w:val="000000" w:themeColor="text1"/>
          <w:kern w:val="0"/>
          <w:sz w:val="28"/>
        </w:rPr>
        <w:t>密度</w:t>
      </w:r>
      <w:r>
        <w:rPr>
          <w:rFonts w:hint="eastAsia"/>
          <w:color w:val="000000" w:themeColor="text1"/>
          <w:kern w:val="0"/>
          <w:sz w:val="28"/>
        </w:rPr>
        <w:t>，提高了物流服务水平</w:t>
      </w:r>
      <w:r>
        <w:rPr>
          <w:color w:val="000000" w:themeColor="text1"/>
          <w:kern w:val="0"/>
          <w:sz w:val="28"/>
        </w:rPr>
        <w:t>。</w:t>
      </w:r>
    </w:p>
    <w:p>
      <w:pPr>
        <w:snapToGrid w:val="0"/>
        <w:spacing w:before="0" w:after="0" w:line="360" w:lineRule="auto"/>
        <w:ind w:left="0" w:firstLine="560" w:firstLineChars="200"/>
        <w:jc w:val="left"/>
        <w:rPr>
          <w:color w:val="000000" w:themeColor="text1"/>
          <w:kern w:val="0"/>
          <w:sz w:val="28"/>
        </w:rPr>
      </w:pPr>
      <w:bookmarkStart w:id="145" w:name="_Toc361685506"/>
      <w:bookmarkStart w:id="146" w:name="_Toc375485179"/>
      <w:bookmarkStart w:id="147" w:name="_Toc403138551"/>
      <w:bookmarkStart w:id="148" w:name="_Toc337462319"/>
      <w:bookmarkStart w:id="149" w:name="_Toc363835492"/>
      <w:bookmarkStart w:id="150" w:name="_Toc370842148"/>
      <w:bookmarkStart w:id="151" w:name="_Toc370026256"/>
      <w:bookmarkStart w:id="152" w:name="_Toc361657965"/>
      <w:bookmarkStart w:id="153" w:name="_Toc342775107"/>
      <w:r>
        <w:rPr>
          <w:color w:val="000000" w:themeColor="text1"/>
          <w:kern w:val="0"/>
          <w:sz w:val="28"/>
        </w:rPr>
        <w:t>（4）规划中远期的</w:t>
      </w:r>
      <w:r>
        <w:rPr>
          <w:rFonts w:hint="eastAsia"/>
          <w:color w:val="000000" w:themeColor="text1"/>
          <w:kern w:val="0"/>
          <w:sz w:val="28"/>
        </w:rPr>
        <w:t>农村物流</w:t>
      </w:r>
      <w:r>
        <w:rPr>
          <w:color w:val="000000" w:themeColor="text1"/>
          <w:kern w:val="0"/>
          <w:sz w:val="28"/>
        </w:rPr>
        <w:t>服务质量有一定改善</w:t>
      </w:r>
      <w:bookmarkEnd w:id="145"/>
      <w:bookmarkEnd w:id="146"/>
      <w:bookmarkEnd w:id="147"/>
      <w:bookmarkEnd w:id="148"/>
      <w:bookmarkEnd w:id="149"/>
      <w:bookmarkEnd w:id="150"/>
      <w:bookmarkEnd w:id="151"/>
      <w:bookmarkEnd w:id="152"/>
      <w:bookmarkEnd w:id="153"/>
    </w:p>
    <w:p>
      <w:pPr>
        <w:snapToGrid w:val="0"/>
        <w:spacing w:before="0" w:after="0" w:line="360" w:lineRule="auto"/>
        <w:ind w:left="0" w:firstLine="560" w:firstLineChars="200"/>
        <w:jc w:val="left"/>
        <w:rPr>
          <w:color w:val="000000" w:themeColor="text1"/>
          <w:sz w:val="28"/>
        </w:rPr>
      </w:pPr>
      <w:r>
        <w:rPr>
          <w:color w:val="000000" w:themeColor="text1"/>
          <w:kern w:val="0"/>
          <w:sz w:val="28"/>
        </w:rPr>
        <w:t>中远期规划致力于提高</w:t>
      </w:r>
      <w:r>
        <w:rPr>
          <w:rFonts w:hint="eastAsia"/>
          <w:color w:val="000000" w:themeColor="text1"/>
          <w:kern w:val="0"/>
          <w:sz w:val="28"/>
        </w:rPr>
        <w:t>农村物流网点数量</w:t>
      </w:r>
      <w:r>
        <w:rPr>
          <w:color w:val="000000" w:themeColor="text1"/>
          <w:kern w:val="0"/>
          <w:sz w:val="28"/>
        </w:rPr>
        <w:t>，吸引更多的居民选择</w:t>
      </w:r>
      <w:r>
        <w:rPr>
          <w:rFonts w:hint="eastAsia"/>
          <w:color w:val="000000" w:themeColor="text1"/>
          <w:kern w:val="0"/>
          <w:sz w:val="28"/>
        </w:rPr>
        <w:t>就近物流</w:t>
      </w:r>
      <w:r>
        <w:rPr>
          <w:color w:val="000000" w:themeColor="text1"/>
          <w:kern w:val="0"/>
          <w:sz w:val="28"/>
        </w:rPr>
        <w:t>。实现这一目标的根本途径就是不断提高</w:t>
      </w:r>
      <w:r>
        <w:rPr>
          <w:rFonts w:hint="eastAsia"/>
          <w:color w:val="000000" w:themeColor="text1"/>
          <w:kern w:val="0"/>
          <w:sz w:val="28"/>
        </w:rPr>
        <w:t>物流</w:t>
      </w:r>
      <w:r>
        <w:rPr>
          <w:color w:val="000000" w:themeColor="text1"/>
          <w:kern w:val="0"/>
          <w:sz w:val="28"/>
        </w:rPr>
        <w:t>服务质量，营造良好的</w:t>
      </w:r>
      <w:r>
        <w:rPr>
          <w:rFonts w:hint="eastAsia"/>
          <w:color w:val="000000" w:themeColor="text1"/>
          <w:kern w:val="0"/>
          <w:sz w:val="28"/>
        </w:rPr>
        <w:t>物流</w:t>
      </w:r>
      <w:r>
        <w:rPr>
          <w:color w:val="000000" w:themeColor="text1"/>
          <w:kern w:val="0"/>
          <w:sz w:val="28"/>
        </w:rPr>
        <w:t>环境。</w:t>
      </w:r>
    </w:p>
    <w:p>
      <w:pPr>
        <w:pStyle w:val="3"/>
        <w:jc w:val="left"/>
        <w:rPr>
          <w:rFonts w:ascii="Times New Roman" w:hAnsi="Times New Roman"/>
          <w:color w:val="000000" w:themeColor="text1"/>
        </w:rPr>
      </w:pPr>
      <w:bookmarkStart w:id="154" w:name="_Toc472969085"/>
      <w:bookmarkStart w:id="155" w:name="_Toc334639789"/>
      <w:bookmarkStart w:id="156" w:name="_Toc528526480"/>
      <w:r>
        <w:rPr>
          <w:rFonts w:hint="eastAsia" w:ascii="Times New Roman" w:hAnsi="Times New Roman"/>
          <w:color w:val="000000" w:themeColor="text1"/>
        </w:rPr>
        <w:t>2.3泉州台商投资区农村物流网络体系</w:t>
      </w:r>
      <w:r>
        <w:rPr>
          <w:rFonts w:ascii="Times New Roman" w:hAnsi="Times New Roman"/>
          <w:color w:val="000000" w:themeColor="text1"/>
        </w:rPr>
        <w:t>规划定性评价</w:t>
      </w:r>
      <w:bookmarkEnd w:id="154"/>
      <w:bookmarkEnd w:id="155"/>
      <w:bookmarkEnd w:id="156"/>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2.3.1</w:t>
      </w:r>
      <w:r>
        <w:rPr>
          <w:rFonts w:eastAsia="黑体"/>
          <w:bCs/>
          <w:color w:val="000000" w:themeColor="text1"/>
          <w:sz w:val="30"/>
          <w:szCs w:val="30"/>
          <w:lang w:bidi="en-US"/>
        </w:rPr>
        <w:t>社会效益评价</w:t>
      </w:r>
      <w:bookmarkEnd w:id="122"/>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（1）泉州台商投资区</w:t>
      </w:r>
      <w:r>
        <w:rPr>
          <w:rFonts w:hint="eastAsia"/>
          <w:color w:val="000000" w:themeColor="text1"/>
          <w:kern w:val="0"/>
          <w:sz w:val="28"/>
        </w:rPr>
        <w:t>三级农村物流网络体系</w:t>
      </w:r>
      <w:r>
        <w:rPr>
          <w:color w:val="000000" w:themeColor="text1"/>
          <w:kern w:val="0"/>
          <w:sz w:val="28"/>
        </w:rPr>
        <w:t>规划方案的实施，将减少</w:t>
      </w:r>
      <w:r>
        <w:rPr>
          <w:rFonts w:hint="eastAsia"/>
          <w:color w:val="000000" w:themeColor="text1"/>
          <w:kern w:val="0"/>
          <w:sz w:val="28"/>
        </w:rPr>
        <w:t>农民</w:t>
      </w:r>
      <w:r>
        <w:rPr>
          <w:color w:val="000000" w:themeColor="text1"/>
          <w:kern w:val="0"/>
          <w:sz w:val="28"/>
        </w:rPr>
        <w:t>不必要的</w:t>
      </w:r>
      <w:r>
        <w:rPr>
          <w:rFonts w:hint="eastAsia"/>
          <w:color w:val="000000" w:themeColor="text1"/>
          <w:kern w:val="0"/>
          <w:sz w:val="28"/>
        </w:rPr>
        <w:t>出</w:t>
      </w:r>
      <w:r>
        <w:rPr>
          <w:color w:val="000000" w:themeColor="text1"/>
          <w:kern w:val="0"/>
          <w:sz w:val="28"/>
        </w:rPr>
        <w:t>行，能够大大缩短</w:t>
      </w:r>
      <w:r>
        <w:rPr>
          <w:rFonts w:hint="eastAsia"/>
          <w:color w:val="000000" w:themeColor="text1"/>
          <w:kern w:val="0"/>
          <w:sz w:val="28"/>
        </w:rPr>
        <w:t>农民物流</w:t>
      </w:r>
      <w:r>
        <w:rPr>
          <w:color w:val="000000" w:themeColor="text1"/>
          <w:kern w:val="0"/>
          <w:sz w:val="28"/>
        </w:rPr>
        <w:t>出行的平均时间；增加</w:t>
      </w:r>
      <w:r>
        <w:rPr>
          <w:rFonts w:hint="eastAsia"/>
          <w:color w:val="000000" w:themeColor="text1"/>
          <w:kern w:val="0"/>
          <w:sz w:val="28"/>
        </w:rPr>
        <w:t>网点</w:t>
      </w:r>
      <w:r>
        <w:rPr>
          <w:color w:val="000000" w:themeColor="text1"/>
          <w:kern w:val="0"/>
          <w:sz w:val="28"/>
        </w:rPr>
        <w:t>覆盖率，减少居民步行到</w:t>
      </w:r>
      <w:r>
        <w:rPr>
          <w:rFonts w:hint="eastAsia"/>
          <w:color w:val="000000" w:themeColor="text1"/>
          <w:kern w:val="0"/>
          <w:sz w:val="28"/>
        </w:rPr>
        <w:t>物流网点</w:t>
      </w:r>
      <w:r>
        <w:rPr>
          <w:color w:val="000000" w:themeColor="text1"/>
          <w:kern w:val="0"/>
          <w:sz w:val="28"/>
        </w:rPr>
        <w:t>时间，使居民</w:t>
      </w:r>
      <w:r>
        <w:rPr>
          <w:rFonts w:hint="eastAsia"/>
          <w:color w:val="000000" w:themeColor="text1"/>
          <w:kern w:val="0"/>
          <w:sz w:val="28"/>
        </w:rPr>
        <w:t>收发货</w:t>
      </w:r>
      <w:r>
        <w:rPr>
          <w:color w:val="000000" w:themeColor="text1"/>
          <w:kern w:val="0"/>
          <w:sz w:val="28"/>
        </w:rPr>
        <w:t>更加快捷和方便。</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（2）泉州台商投资区</w:t>
      </w:r>
      <w:r>
        <w:rPr>
          <w:rFonts w:hint="eastAsia"/>
          <w:color w:val="000000" w:themeColor="text1"/>
          <w:kern w:val="0"/>
          <w:sz w:val="28"/>
        </w:rPr>
        <w:t>三级农村物流网络体系规划</w:t>
      </w:r>
      <w:r>
        <w:rPr>
          <w:color w:val="000000" w:themeColor="text1"/>
          <w:kern w:val="0"/>
          <w:sz w:val="28"/>
        </w:rPr>
        <w:t>方案的实施，能够减少交通事故的发生，提高</w:t>
      </w:r>
      <w:r>
        <w:rPr>
          <w:rFonts w:hint="eastAsia"/>
          <w:color w:val="000000" w:themeColor="text1"/>
          <w:kern w:val="0"/>
          <w:sz w:val="28"/>
        </w:rPr>
        <w:t>农民</w:t>
      </w:r>
      <w:r>
        <w:rPr>
          <w:color w:val="000000" w:themeColor="text1"/>
          <w:kern w:val="0"/>
          <w:sz w:val="28"/>
        </w:rPr>
        <w:t>的安全感和舒适度，为</w:t>
      </w:r>
      <w:r>
        <w:rPr>
          <w:rFonts w:hint="eastAsia"/>
          <w:color w:val="000000" w:themeColor="text1"/>
          <w:kern w:val="0"/>
          <w:sz w:val="28"/>
        </w:rPr>
        <w:t>农民</w:t>
      </w:r>
      <w:r>
        <w:rPr>
          <w:color w:val="000000" w:themeColor="text1"/>
          <w:kern w:val="0"/>
          <w:sz w:val="28"/>
        </w:rPr>
        <w:t>提供方便、安全高效、经济舒适的</w:t>
      </w:r>
      <w:r>
        <w:rPr>
          <w:rFonts w:hint="eastAsia"/>
          <w:color w:val="000000" w:themeColor="text1"/>
          <w:kern w:val="0"/>
          <w:sz w:val="28"/>
        </w:rPr>
        <w:t>物流</w:t>
      </w:r>
      <w:r>
        <w:rPr>
          <w:color w:val="000000" w:themeColor="text1"/>
          <w:kern w:val="0"/>
          <w:sz w:val="28"/>
        </w:rPr>
        <w:t>条件；从广大的普通群众的切身利益出发，体现了社会的公平性，有利于人民的团结，有利于提高人民的生活水平。</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（3）泉州台商投资区</w:t>
      </w:r>
      <w:r>
        <w:rPr>
          <w:rFonts w:hint="eastAsia"/>
          <w:color w:val="000000" w:themeColor="text1"/>
          <w:kern w:val="0"/>
          <w:sz w:val="28"/>
        </w:rPr>
        <w:t>三级农村物流网络体系</w:t>
      </w:r>
      <w:r>
        <w:rPr>
          <w:color w:val="000000" w:themeColor="text1"/>
          <w:kern w:val="0"/>
          <w:sz w:val="28"/>
        </w:rPr>
        <w:t>规划方案的实施，将促进城</w:t>
      </w:r>
      <w:r>
        <w:rPr>
          <w:rFonts w:hint="eastAsia"/>
          <w:color w:val="000000" w:themeColor="text1"/>
          <w:kern w:val="0"/>
          <w:sz w:val="28"/>
        </w:rPr>
        <w:t>农村物流</w:t>
      </w:r>
      <w:r>
        <w:rPr>
          <w:color w:val="000000" w:themeColor="text1"/>
          <w:kern w:val="0"/>
          <w:sz w:val="28"/>
        </w:rPr>
        <w:t>网络的调整和完善。以</w:t>
      </w:r>
      <w:r>
        <w:rPr>
          <w:rFonts w:hint="eastAsia"/>
          <w:color w:val="000000" w:themeColor="text1"/>
          <w:kern w:val="0"/>
          <w:sz w:val="28"/>
        </w:rPr>
        <w:t>区、乡镇物流网点</w:t>
      </w:r>
      <w:r>
        <w:rPr>
          <w:color w:val="000000" w:themeColor="text1"/>
          <w:kern w:val="0"/>
          <w:sz w:val="28"/>
        </w:rPr>
        <w:t>为支撑的层次分明的网络不仅能大大增加</w:t>
      </w:r>
      <w:r>
        <w:rPr>
          <w:rFonts w:hint="eastAsia"/>
          <w:color w:val="000000" w:themeColor="text1"/>
          <w:kern w:val="0"/>
          <w:sz w:val="28"/>
        </w:rPr>
        <w:t>农村物流</w:t>
      </w:r>
      <w:r>
        <w:rPr>
          <w:color w:val="000000" w:themeColor="text1"/>
          <w:kern w:val="0"/>
          <w:sz w:val="28"/>
        </w:rPr>
        <w:t>的可达性和通达性，同时能提高各区域之间的可达性和通达性，增加各个区域之间的交流，给</w:t>
      </w:r>
      <w:r>
        <w:rPr>
          <w:rFonts w:hint="eastAsia"/>
          <w:color w:val="000000" w:themeColor="text1"/>
          <w:kern w:val="0"/>
          <w:sz w:val="28"/>
        </w:rPr>
        <w:t>农民物流</w:t>
      </w:r>
      <w:r>
        <w:rPr>
          <w:color w:val="000000" w:themeColor="text1"/>
          <w:kern w:val="0"/>
          <w:sz w:val="28"/>
        </w:rPr>
        <w:t>带来更多的方便，同时促进产业结构的发展，有利于经济的发展。</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（4）泉州台商投资区</w:t>
      </w:r>
      <w:r>
        <w:rPr>
          <w:rFonts w:hint="eastAsia"/>
          <w:color w:val="000000" w:themeColor="text1"/>
          <w:kern w:val="0"/>
          <w:sz w:val="28"/>
        </w:rPr>
        <w:t>三级农村物流网络体系</w:t>
      </w:r>
      <w:r>
        <w:rPr>
          <w:color w:val="000000" w:themeColor="text1"/>
          <w:kern w:val="0"/>
          <w:sz w:val="28"/>
        </w:rPr>
        <w:t>规划方案的规划和实施，能够逐渐增加</w:t>
      </w:r>
      <w:r>
        <w:rPr>
          <w:rFonts w:hint="eastAsia"/>
          <w:color w:val="000000" w:themeColor="text1"/>
          <w:kern w:val="0"/>
          <w:sz w:val="28"/>
        </w:rPr>
        <w:t>农村物流量</w:t>
      </w:r>
      <w:r>
        <w:rPr>
          <w:color w:val="000000" w:themeColor="text1"/>
          <w:kern w:val="0"/>
          <w:sz w:val="28"/>
        </w:rPr>
        <w:t>，抑制</w:t>
      </w:r>
      <w:r>
        <w:rPr>
          <w:rFonts w:hint="eastAsia"/>
          <w:color w:val="000000" w:themeColor="text1"/>
          <w:kern w:val="0"/>
          <w:sz w:val="28"/>
        </w:rPr>
        <w:t>不合理竞争</w:t>
      </w:r>
      <w:r>
        <w:rPr>
          <w:color w:val="000000" w:themeColor="text1"/>
          <w:kern w:val="0"/>
          <w:sz w:val="28"/>
        </w:rPr>
        <w:t>，有利于缓解城市交通的压力，充分发挥公共</w:t>
      </w:r>
      <w:r>
        <w:rPr>
          <w:rFonts w:hint="eastAsia"/>
          <w:color w:val="000000" w:themeColor="text1"/>
          <w:kern w:val="0"/>
          <w:sz w:val="28"/>
        </w:rPr>
        <w:t>物流</w:t>
      </w:r>
      <w:r>
        <w:rPr>
          <w:color w:val="000000" w:themeColor="text1"/>
          <w:kern w:val="0"/>
          <w:sz w:val="28"/>
        </w:rPr>
        <w:t>的优势，使整个</w:t>
      </w:r>
      <w:r>
        <w:rPr>
          <w:rFonts w:hint="eastAsia"/>
          <w:color w:val="000000" w:themeColor="text1"/>
          <w:kern w:val="0"/>
          <w:sz w:val="28"/>
        </w:rPr>
        <w:t>物流</w:t>
      </w:r>
      <w:r>
        <w:rPr>
          <w:color w:val="000000" w:themeColor="text1"/>
          <w:kern w:val="0"/>
          <w:sz w:val="28"/>
        </w:rPr>
        <w:t>系统良性发展，从而为社会经济的持续发展提供良好的</w:t>
      </w:r>
      <w:r>
        <w:rPr>
          <w:rFonts w:hint="eastAsia"/>
          <w:color w:val="000000" w:themeColor="text1"/>
          <w:kern w:val="0"/>
          <w:sz w:val="28"/>
        </w:rPr>
        <w:t>物流</w:t>
      </w:r>
      <w:r>
        <w:rPr>
          <w:color w:val="000000" w:themeColor="text1"/>
          <w:kern w:val="0"/>
          <w:sz w:val="28"/>
        </w:rPr>
        <w:t>环境。</w:t>
      </w:r>
    </w:p>
    <w:p>
      <w:pPr>
        <w:snapToGrid w:val="0"/>
        <w:spacing w:before="0" w:after="0" w:line="360" w:lineRule="auto"/>
        <w:ind w:left="0" w:firstLine="560" w:firstLineChars="200"/>
        <w:jc w:val="left"/>
        <w:rPr>
          <w:color w:val="000000" w:themeColor="text1"/>
          <w:sz w:val="28"/>
        </w:rPr>
      </w:pPr>
      <w:r>
        <w:rPr>
          <w:color w:val="000000" w:themeColor="text1"/>
          <w:kern w:val="0"/>
          <w:sz w:val="28"/>
        </w:rPr>
        <w:t>（5）泉州台商投资区</w:t>
      </w:r>
      <w:r>
        <w:rPr>
          <w:rFonts w:hint="eastAsia"/>
          <w:color w:val="000000" w:themeColor="text1"/>
          <w:kern w:val="0"/>
          <w:sz w:val="28"/>
        </w:rPr>
        <w:t>三级农村物流网络体系</w:t>
      </w:r>
      <w:r>
        <w:rPr>
          <w:color w:val="000000" w:themeColor="text1"/>
          <w:kern w:val="0"/>
          <w:sz w:val="28"/>
        </w:rPr>
        <w:t>规划方案，</w:t>
      </w:r>
      <w:r>
        <w:rPr>
          <w:rFonts w:hint="eastAsia"/>
          <w:color w:val="000000" w:themeColor="text1"/>
          <w:kern w:val="0"/>
          <w:sz w:val="28"/>
        </w:rPr>
        <w:t>能</w:t>
      </w:r>
      <w:r>
        <w:rPr>
          <w:color w:val="000000" w:themeColor="text1"/>
          <w:kern w:val="0"/>
          <w:sz w:val="28"/>
        </w:rPr>
        <w:t>减轻</w:t>
      </w:r>
      <w:r>
        <w:rPr>
          <w:rFonts w:hint="eastAsia"/>
          <w:color w:val="000000" w:themeColor="text1"/>
          <w:kern w:val="0"/>
          <w:sz w:val="28"/>
        </w:rPr>
        <w:t>泉州台商投资区主要</w:t>
      </w:r>
      <w:r>
        <w:rPr>
          <w:color w:val="000000" w:themeColor="text1"/>
          <w:kern w:val="0"/>
          <w:sz w:val="28"/>
        </w:rPr>
        <w:t>路段的交通负荷，同时也提高了</w:t>
      </w:r>
      <w:r>
        <w:rPr>
          <w:rFonts w:hint="eastAsia"/>
          <w:color w:val="000000" w:themeColor="text1"/>
          <w:kern w:val="0"/>
          <w:sz w:val="28"/>
        </w:rPr>
        <w:t>物流公司</w:t>
      </w:r>
      <w:r>
        <w:rPr>
          <w:color w:val="000000" w:themeColor="text1"/>
          <w:kern w:val="0"/>
          <w:sz w:val="28"/>
        </w:rPr>
        <w:t>自身的运营效率；改变</w:t>
      </w:r>
      <w:r>
        <w:rPr>
          <w:rFonts w:hint="eastAsia"/>
          <w:color w:val="000000" w:themeColor="text1"/>
          <w:kern w:val="0"/>
          <w:sz w:val="28"/>
        </w:rPr>
        <w:t>物流车辆、物流仓储</w:t>
      </w:r>
      <w:r>
        <w:rPr>
          <w:color w:val="000000" w:themeColor="text1"/>
          <w:kern w:val="0"/>
          <w:sz w:val="28"/>
        </w:rPr>
        <w:t>难的局面，改善了</w:t>
      </w:r>
      <w:r>
        <w:rPr>
          <w:rFonts w:hint="eastAsia"/>
          <w:color w:val="000000" w:themeColor="text1"/>
          <w:kern w:val="0"/>
          <w:sz w:val="28"/>
        </w:rPr>
        <w:t>物流公司</w:t>
      </w:r>
      <w:r>
        <w:rPr>
          <w:color w:val="000000" w:themeColor="text1"/>
          <w:kern w:val="0"/>
          <w:sz w:val="28"/>
        </w:rPr>
        <w:t>运营环境，尤其是</w:t>
      </w:r>
      <w:r>
        <w:rPr>
          <w:rFonts w:hint="eastAsia"/>
          <w:color w:val="000000" w:themeColor="text1"/>
          <w:kern w:val="0"/>
          <w:sz w:val="28"/>
        </w:rPr>
        <w:t>相关物流网点</w:t>
      </w:r>
      <w:r>
        <w:rPr>
          <w:color w:val="000000" w:themeColor="text1"/>
          <w:kern w:val="0"/>
          <w:sz w:val="28"/>
        </w:rPr>
        <w:t>的建设，提高了</w:t>
      </w:r>
      <w:r>
        <w:rPr>
          <w:rFonts w:hint="eastAsia"/>
          <w:color w:val="000000" w:themeColor="text1"/>
          <w:kern w:val="0"/>
          <w:sz w:val="28"/>
        </w:rPr>
        <w:t>物流</w:t>
      </w:r>
      <w:r>
        <w:rPr>
          <w:color w:val="000000" w:themeColor="text1"/>
          <w:kern w:val="0"/>
          <w:sz w:val="28"/>
        </w:rPr>
        <w:t>运营速度，同时还配套规划、改造相应的站点，改善</w:t>
      </w:r>
      <w:r>
        <w:rPr>
          <w:rFonts w:hint="eastAsia"/>
          <w:color w:val="000000" w:themeColor="text1"/>
          <w:kern w:val="0"/>
          <w:sz w:val="28"/>
        </w:rPr>
        <w:t>物流工作</w:t>
      </w:r>
      <w:r>
        <w:rPr>
          <w:color w:val="000000" w:themeColor="text1"/>
          <w:kern w:val="0"/>
          <w:sz w:val="28"/>
        </w:rPr>
        <w:t>环境。</w:t>
      </w:r>
      <w:bookmarkStart w:id="157" w:name="_Toc168823788"/>
      <w:bookmarkStart w:id="158" w:name="_Toc330913292"/>
      <w:bookmarkStart w:id="159" w:name="_Toc158180344"/>
    </w:p>
    <w:p>
      <w:pPr>
        <w:pStyle w:val="4"/>
        <w:widowControl/>
        <w:spacing w:before="240" w:after="60" w:line="240" w:lineRule="auto"/>
        <w:jc w:val="left"/>
        <w:rPr>
          <w:rFonts w:eastAsia="黑体"/>
          <w:bCs/>
          <w:color w:val="000000" w:themeColor="text1"/>
          <w:sz w:val="30"/>
          <w:szCs w:val="30"/>
          <w:lang w:bidi="en-US"/>
        </w:rPr>
      </w:pPr>
      <w:r>
        <w:rPr>
          <w:rFonts w:hint="eastAsia" w:eastAsia="黑体"/>
          <w:bCs/>
          <w:color w:val="000000" w:themeColor="text1"/>
          <w:sz w:val="30"/>
          <w:szCs w:val="30"/>
          <w:lang w:bidi="en-US"/>
        </w:rPr>
        <w:t>2.3.</w:t>
      </w:r>
      <w:r>
        <w:rPr>
          <w:rFonts w:eastAsia="黑体"/>
          <w:bCs/>
          <w:color w:val="000000" w:themeColor="text1"/>
          <w:sz w:val="30"/>
          <w:szCs w:val="30"/>
          <w:lang w:bidi="en-US"/>
        </w:rPr>
        <w:t>环境效益评价</w:t>
      </w:r>
      <w:bookmarkEnd w:id="157"/>
      <w:bookmarkEnd w:id="158"/>
      <w:bookmarkEnd w:id="159"/>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（1）泉州台商投资区</w:t>
      </w:r>
      <w:r>
        <w:rPr>
          <w:rFonts w:hint="eastAsia"/>
          <w:color w:val="000000" w:themeColor="text1"/>
          <w:kern w:val="0"/>
          <w:sz w:val="28"/>
        </w:rPr>
        <w:t>三级农村物流网络体系</w:t>
      </w:r>
      <w:r>
        <w:rPr>
          <w:color w:val="000000" w:themeColor="text1"/>
          <w:kern w:val="0"/>
          <w:sz w:val="28"/>
        </w:rPr>
        <w:t>规划方案的实施能够</w:t>
      </w:r>
      <w:r>
        <w:rPr>
          <w:rFonts w:hint="eastAsia"/>
          <w:color w:val="000000" w:themeColor="text1"/>
          <w:kern w:val="0"/>
          <w:sz w:val="28"/>
        </w:rPr>
        <w:t>实现农村物流各类物资“最初一公里”和“最后一公里”有序集散和高效配送，同时</w:t>
      </w:r>
      <w:r>
        <w:rPr>
          <w:color w:val="000000" w:themeColor="text1"/>
          <w:kern w:val="0"/>
          <w:sz w:val="28"/>
        </w:rPr>
        <w:t>能够在道路资源紧张区域缓解交通拥挤、减少事故发生，减少废气排放量和噪声污染，促进</w:t>
      </w:r>
      <w:r>
        <w:rPr>
          <w:rFonts w:hint="eastAsia"/>
          <w:color w:val="000000" w:themeColor="text1"/>
          <w:kern w:val="0"/>
          <w:sz w:val="28"/>
        </w:rPr>
        <w:t>全区</w:t>
      </w:r>
      <w:r>
        <w:rPr>
          <w:color w:val="000000" w:themeColor="text1"/>
          <w:kern w:val="0"/>
          <w:sz w:val="28"/>
        </w:rPr>
        <w:t>环境的可持续发展。此外规划方案的实施有利于减少能源的消耗，节约道路资源。</w:t>
      </w:r>
    </w:p>
    <w:p>
      <w:pPr>
        <w:snapToGrid w:val="0"/>
        <w:spacing w:before="0" w:after="0" w:line="360" w:lineRule="auto"/>
        <w:ind w:left="0" w:firstLine="560" w:firstLineChars="200"/>
        <w:jc w:val="left"/>
        <w:rPr>
          <w:color w:val="000000" w:themeColor="text1"/>
          <w:kern w:val="0"/>
          <w:sz w:val="28"/>
        </w:rPr>
      </w:pPr>
      <w:r>
        <w:rPr>
          <w:color w:val="000000" w:themeColor="text1"/>
          <w:kern w:val="0"/>
          <w:sz w:val="28"/>
        </w:rPr>
        <w:t>（2）泉州台商投资区</w:t>
      </w:r>
      <w:r>
        <w:rPr>
          <w:rFonts w:hint="eastAsia"/>
          <w:color w:val="000000" w:themeColor="text1"/>
          <w:kern w:val="0"/>
          <w:sz w:val="28"/>
        </w:rPr>
        <w:t>三级农村物流网络体系</w:t>
      </w:r>
      <w:r>
        <w:rPr>
          <w:color w:val="000000" w:themeColor="text1"/>
          <w:kern w:val="0"/>
          <w:sz w:val="28"/>
        </w:rPr>
        <w:t>规划方案的实施能够为整个城市的交通发展提供科学指导方向、改善城市交通环境、促进建设节约型社会</w:t>
      </w:r>
      <w:r>
        <w:rPr>
          <w:rFonts w:hint="eastAsia"/>
          <w:color w:val="000000" w:themeColor="text1"/>
          <w:kern w:val="0"/>
          <w:sz w:val="28"/>
        </w:rPr>
        <w:t>。</w:t>
      </w:r>
    </w:p>
    <w:p>
      <w:pPr>
        <w:snapToGrid w:val="0"/>
        <w:spacing w:before="0" w:after="0" w:line="360" w:lineRule="auto"/>
        <w:ind w:left="0" w:firstLine="560" w:firstLineChars="200"/>
        <w:jc w:val="left"/>
        <w:rPr>
          <w:color w:val="000000" w:themeColor="text1"/>
          <w:sz w:val="28"/>
        </w:rPr>
      </w:pPr>
      <w:r>
        <w:rPr>
          <w:color w:val="000000" w:themeColor="text1"/>
          <w:kern w:val="0"/>
          <w:sz w:val="28"/>
        </w:rPr>
        <w:t>（3）泉州台商投资区</w:t>
      </w:r>
      <w:r>
        <w:rPr>
          <w:rFonts w:hint="eastAsia"/>
          <w:color w:val="000000" w:themeColor="text1"/>
          <w:kern w:val="0"/>
          <w:sz w:val="28"/>
        </w:rPr>
        <w:t>三级农村物流网络体系</w:t>
      </w:r>
      <w:r>
        <w:rPr>
          <w:color w:val="000000" w:themeColor="text1"/>
          <w:kern w:val="0"/>
          <w:sz w:val="28"/>
        </w:rPr>
        <w:t>规划方案的实施，将促进</w:t>
      </w:r>
      <w:r>
        <w:rPr>
          <w:rFonts w:hint="eastAsia"/>
          <w:color w:val="000000" w:themeColor="text1"/>
          <w:kern w:val="0"/>
          <w:sz w:val="28"/>
        </w:rPr>
        <w:t>农村</w:t>
      </w:r>
      <w:r>
        <w:rPr>
          <w:color w:val="000000" w:themeColor="text1"/>
          <w:kern w:val="0"/>
          <w:sz w:val="28"/>
        </w:rPr>
        <w:t>资源的开发利用，为改善泉州台商投资区的投资环境、交通环境、</w:t>
      </w:r>
      <w:r>
        <w:rPr>
          <w:rFonts w:hint="eastAsia"/>
          <w:color w:val="000000" w:themeColor="text1"/>
          <w:kern w:val="0"/>
          <w:sz w:val="28"/>
        </w:rPr>
        <w:t>物流</w:t>
      </w:r>
      <w:r>
        <w:rPr>
          <w:color w:val="000000" w:themeColor="text1"/>
          <w:kern w:val="0"/>
          <w:sz w:val="28"/>
        </w:rPr>
        <w:t>环境打下良好基础，能够提升城市的形象，增加城市的魅力，体现这个城市的美丽风貌。</w:t>
      </w:r>
    </w:p>
    <w:sectPr>
      <w:footerReference r:id="rId9" w:type="default"/>
      <w:type w:val="continuous"/>
      <w:pgSz w:w="11906" w:h="16838"/>
      <w:pgMar w:top="1440" w:right="1701" w:bottom="1440" w:left="1797" w:header="794" w:footer="850" w:gutter="0"/>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0149682"/>
      <w:showingPlcHdr/>
    </w:sdtPr>
    <w:sdtContent>
      <w:p>
        <w:pPr>
          <w:pStyle w:val="10"/>
          <w:ind w:left="998"/>
          <w:jc w:val="center"/>
        </w:pP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7339700"/>
      <w:showingPlcHdr/>
    </w:sdtPr>
    <w:sdtContent>
      <w:p>
        <w:pPr>
          <w:pStyle w:val="10"/>
          <w:ind w:left="998"/>
          <w:jc w:val="center"/>
        </w:pP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1514472"/>
    </w:sdtPr>
    <w:sdtContent>
      <w:p>
        <w:pPr>
          <w:pStyle w:val="10"/>
          <w:ind w:left="998"/>
          <w:jc w:val="center"/>
        </w:pPr>
        <w:r>
          <w:fldChar w:fldCharType="begin"/>
        </w:r>
        <w:r>
          <w:instrText xml:space="preserve">PAGE   \* MERGEFORMAT</w:instrText>
        </w:r>
        <w:r>
          <w:fldChar w:fldCharType="separate"/>
        </w:r>
        <w:r>
          <w:rPr>
            <w:lang w:val="zh-CN"/>
          </w:rPr>
          <w:t>14</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firstLine="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2"/>
      </w:pBdr>
      <w:tabs>
        <w:tab w:val="center" w:pos="4153"/>
        <w:tab w:val="right" w:pos="8306"/>
      </w:tabs>
      <w:adjustRightInd w:val="0"/>
      <w:snapToGrid w:val="0"/>
      <w:spacing w:before="0" w:after="0" w:line="240" w:lineRule="atLeast"/>
      <w:ind w:left="0" w:firstLine="0"/>
      <w:jc w:val="center"/>
      <w:rPr>
        <w:rFonts w:ascii="Times New Roman" w:hAnsi="Times New Roman"/>
        <w:kern w:val="0"/>
        <w:sz w:val="18"/>
        <w:szCs w:val="18"/>
      </w:rPr>
    </w:pPr>
    <w:r>
      <w:rPr>
        <w:rFonts w:hint="eastAsia" w:ascii="Times New Roman" w:hAnsi="Times New Roman"/>
        <w:kern w:val="0"/>
        <w:sz w:val="18"/>
        <w:szCs w:val="18"/>
      </w:rPr>
      <w:t>泉州台商投资区农村物流网络体系规划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0"/>
      </w:pBdr>
      <w:tabs>
        <w:tab w:val="center" w:pos="4153"/>
        <w:tab w:val="right" w:pos="8306"/>
      </w:tabs>
      <w:snapToGrid w:val="0"/>
      <w:spacing w:before="0" w:after="0" w:line="240" w:lineRule="atLeast"/>
      <w:ind w:left="0" w:firstLine="0"/>
      <w:jc w:val="center"/>
      <w:rPr>
        <w:rFonts w:ascii="Times New Roman" w:hAnsi="Times New Roman"/>
        <w:kern w:val="0"/>
        <w:sz w:val="18"/>
        <w:szCs w:val="18"/>
      </w:rPr>
    </w:pPr>
    <w:r>
      <w:rPr>
        <w:rFonts w:hint="eastAsia" w:ascii="Times New Roman" w:hAnsi="Times New Roman"/>
        <w:kern w:val="0"/>
        <w:sz w:val="18"/>
        <w:szCs w:val="18"/>
      </w:rPr>
      <w:t>泉州台商投资区农村物流网络体系规划</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2"/>
      </w:pBdr>
      <w:tabs>
        <w:tab w:val="center" w:pos="4153"/>
        <w:tab w:val="right" w:pos="8306"/>
      </w:tabs>
      <w:adjustRightInd w:val="0"/>
      <w:snapToGrid w:val="0"/>
      <w:spacing w:before="0" w:after="0" w:line="240" w:lineRule="atLeast"/>
      <w:ind w:left="0" w:firstLine="0"/>
      <w:jc w:val="center"/>
      <w:rPr>
        <w:rFonts w:ascii="Times New Roman" w:hAnsi="Times New Roman"/>
        <w:kern w:val="0"/>
        <w:sz w:val="18"/>
        <w:szCs w:val="18"/>
      </w:rPr>
    </w:pPr>
    <w:r>
      <w:rPr>
        <w:rFonts w:hint="eastAsia" w:ascii="Times New Roman" w:hAnsi="Times New Roman"/>
        <w:kern w:val="0"/>
        <w:sz w:val="18"/>
        <w:szCs w:val="18"/>
      </w:rPr>
      <w:t>泉州台商投资区三级农村物流网络体系规划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34D89B"/>
    <w:multiLevelType w:val="singleLevel"/>
    <w:tmpl w:val="C834D89B"/>
    <w:lvl w:ilvl="0" w:tentative="0">
      <w:start w:val="1"/>
      <w:numFmt w:val="decimal"/>
      <w:lvlText w:val="%1."/>
      <w:lvlJc w:val="left"/>
      <w:pPr>
        <w:tabs>
          <w:tab w:val="left" w:pos="312"/>
        </w:tabs>
      </w:pPr>
    </w:lvl>
  </w:abstractNum>
  <w:abstractNum w:abstractNumId="1">
    <w:nsid w:val="D1951ED3"/>
    <w:multiLevelType w:val="singleLevel"/>
    <w:tmpl w:val="D1951ED3"/>
    <w:lvl w:ilvl="0" w:tentative="0">
      <w:start w:val="1"/>
      <w:numFmt w:val="decimal"/>
      <w:lvlText w:val="%1."/>
      <w:lvlJc w:val="left"/>
      <w:pPr>
        <w:tabs>
          <w:tab w:val="left" w:pos="312"/>
        </w:tabs>
      </w:pPr>
    </w:lvl>
  </w:abstractNum>
  <w:abstractNum w:abstractNumId="2">
    <w:nsid w:val="E57AE8E7"/>
    <w:multiLevelType w:val="singleLevel"/>
    <w:tmpl w:val="E57AE8E7"/>
    <w:lvl w:ilvl="0" w:tentative="0">
      <w:start w:val="1"/>
      <w:numFmt w:val="decimal"/>
      <w:suff w:val="nothing"/>
      <w:lvlText w:val="%1）"/>
      <w:lvlJc w:val="left"/>
    </w:lvl>
  </w:abstractNum>
  <w:abstractNum w:abstractNumId="3">
    <w:nsid w:val="E906A2B6"/>
    <w:multiLevelType w:val="singleLevel"/>
    <w:tmpl w:val="E906A2B6"/>
    <w:lvl w:ilvl="0" w:tentative="0">
      <w:start w:val="2"/>
      <w:numFmt w:val="decimal"/>
      <w:lvlText w:val="(%1)"/>
      <w:lvlJc w:val="left"/>
      <w:pPr>
        <w:tabs>
          <w:tab w:val="left" w:pos="312"/>
        </w:tabs>
      </w:pPr>
    </w:lvl>
  </w:abstractNum>
  <w:abstractNum w:abstractNumId="4">
    <w:nsid w:val="00000006"/>
    <w:multiLevelType w:val="multilevel"/>
    <w:tmpl w:val="00000006"/>
    <w:lvl w:ilvl="0" w:tentative="0">
      <w:start w:val="1"/>
      <w:numFmt w:val="decimal"/>
      <w:lvlText w:val="第%1章"/>
      <w:lvlJc w:val="left"/>
      <w:pPr>
        <w:ind w:left="420" w:hanging="420"/>
      </w:pPr>
      <w:rPr>
        <w:rFonts w:hint="eastAsia" w:ascii="黑体" w:hAnsi="黑体" w:eastAsia="黑体"/>
        <w:sz w:val="44"/>
        <w:szCs w:val="44"/>
      </w:rPr>
    </w:lvl>
    <w:lvl w:ilvl="1" w:tentative="0">
      <w:start w:val="1"/>
      <w:numFmt w:val="decimal"/>
      <w:lvlText w:val="%1.%2"/>
      <w:lvlJc w:val="left"/>
      <w:pPr>
        <w:ind w:left="2986" w:hanging="576"/>
      </w:pPr>
      <w:rPr>
        <w:b/>
        <w:bCs w:val="0"/>
        <w:i w:val="0"/>
        <w:iCs w:val="0"/>
        <w:caps w:val="0"/>
        <w:smallCaps w:val="0"/>
        <w:strike w:val="0"/>
        <w:dstrike w:val="0"/>
        <w:color w:val="000000"/>
        <w:spacing w:val="0"/>
        <w:position w:val="0"/>
        <w:u w:val="none"/>
      </w:rPr>
    </w:lvl>
    <w:lvl w:ilvl="2" w:tentative="0">
      <w:start w:val="1"/>
      <w:numFmt w:val="decimal"/>
      <w:lvlText w:val="%1.%2.%3"/>
      <w:lvlJc w:val="left"/>
      <w:pPr>
        <w:ind w:left="3130" w:hanging="720"/>
      </w:pPr>
      <w:rPr>
        <w:rFonts w:hint="default" w:ascii="Times New Roman" w:hAnsi="Times New Roman" w:cs="Times New Roman"/>
        <w:sz w:val="30"/>
        <w:szCs w:val="30"/>
      </w:rPr>
    </w:lvl>
    <w:lvl w:ilvl="3" w:tentative="0">
      <w:start w:val="1"/>
      <w:numFmt w:val="decimal"/>
      <w:lvlText w:val="%1.%2.%3.%4"/>
      <w:lvlJc w:val="left"/>
      <w:pPr>
        <w:ind w:left="3274" w:hanging="864"/>
      </w:pPr>
      <w:rPr>
        <w:rFonts w:hint="default" w:ascii="Times New Roman" w:hAnsi="Times New Roman" w:cs="Times New Roman"/>
      </w:rPr>
    </w:lvl>
    <w:lvl w:ilvl="4" w:tentative="0">
      <w:start w:val="1"/>
      <w:numFmt w:val="decimal"/>
      <w:lvlText w:val="%1.%2.%3.%4.%5"/>
      <w:lvlJc w:val="left"/>
      <w:pPr>
        <w:ind w:left="3418" w:hanging="1008"/>
      </w:pPr>
      <w:rPr>
        <w:rFonts w:hint="eastAsia"/>
      </w:rPr>
    </w:lvl>
    <w:lvl w:ilvl="5" w:tentative="0">
      <w:start w:val="1"/>
      <w:numFmt w:val="decimal"/>
      <w:lvlText w:val="%1.%2.%3.%4.%5.%6"/>
      <w:lvlJc w:val="left"/>
      <w:pPr>
        <w:ind w:left="3562" w:hanging="1152"/>
      </w:pPr>
      <w:rPr>
        <w:rFonts w:hint="eastAsia"/>
      </w:rPr>
    </w:lvl>
    <w:lvl w:ilvl="6" w:tentative="0">
      <w:start w:val="1"/>
      <w:numFmt w:val="decimal"/>
      <w:lvlText w:val="%1.%2.%3.%4.%5.%6.%7"/>
      <w:lvlJc w:val="left"/>
      <w:pPr>
        <w:ind w:left="3706" w:hanging="1296"/>
      </w:pPr>
      <w:rPr>
        <w:rFonts w:hint="eastAsia"/>
      </w:rPr>
    </w:lvl>
    <w:lvl w:ilvl="7" w:tentative="0">
      <w:start w:val="1"/>
      <w:numFmt w:val="decimal"/>
      <w:lvlText w:val="%1.%2.%3.%4.%5.%6.%7.%8"/>
      <w:lvlJc w:val="left"/>
      <w:pPr>
        <w:ind w:left="3850" w:hanging="1440"/>
      </w:pPr>
      <w:rPr>
        <w:rFonts w:hint="eastAsia"/>
      </w:rPr>
    </w:lvl>
    <w:lvl w:ilvl="8" w:tentative="0">
      <w:start w:val="1"/>
      <w:numFmt w:val="decimal"/>
      <w:lvlText w:val="%1.%2.%3.%4.%5.%6.%7.%8.%9"/>
      <w:lvlJc w:val="left"/>
      <w:pPr>
        <w:ind w:left="3994" w:hanging="1584"/>
      </w:pPr>
      <w:rPr>
        <w:rFonts w:hint="eastAsia"/>
      </w:rPr>
    </w:lvl>
  </w:abstractNum>
  <w:abstractNum w:abstractNumId="5">
    <w:nsid w:val="40DCE9B1"/>
    <w:multiLevelType w:val="singleLevel"/>
    <w:tmpl w:val="40DCE9B1"/>
    <w:lvl w:ilvl="0" w:tentative="0">
      <w:start w:val="2"/>
      <w:numFmt w:val="decimal"/>
      <w:suff w:val="space"/>
      <w:lvlText w:val="%1）"/>
      <w:lvlJc w:val="left"/>
      <w:pPr>
        <w:ind w:left="420" w:firstLine="0"/>
      </w:pPr>
    </w:lvl>
  </w:abstractNum>
  <w:abstractNum w:abstractNumId="6">
    <w:nsid w:val="499B9EFB"/>
    <w:multiLevelType w:val="singleLevel"/>
    <w:tmpl w:val="499B9EFB"/>
    <w:lvl w:ilvl="0" w:tentative="0">
      <w:start w:val="1"/>
      <w:numFmt w:val="decimal"/>
      <w:lvlText w:val="%1)"/>
      <w:lvlJc w:val="left"/>
      <w:pPr>
        <w:tabs>
          <w:tab w:val="left" w:pos="312"/>
        </w:tabs>
      </w:pPr>
    </w:lvl>
  </w:abstractNum>
  <w:abstractNum w:abstractNumId="7">
    <w:nsid w:val="65BA694C"/>
    <w:multiLevelType w:val="multilevel"/>
    <w:tmpl w:val="65BA694C"/>
    <w:lvl w:ilvl="0" w:tentative="0">
      <w:start w:val="1"/>
      <w:numFmt w:val="bullet"/>
      <w:lvlText w:val=""/>
      <w:lvlJc w:val="left"/>
      <w:pPr>
        <w:ind w:left="0" w:firstLine="56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7"/>
  </w:num>
  <w:num w:numId="2">
    <w:abstractNumId w:val="4"/>
  </w:num>
  <w:num w:numId="3">
    <w:abstractNumId w:val="0"/>
  </w:num>
  <w:num w:numId="4">
    <w:abstractNumId w:val="2"/>
  </w:num>
  <w:num w:numId="5">
    <w:abstractNumId w:val="3"/>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6979"/>
    <w:rsid w:val="00011905"/>
    <w:rsid w:val="00012314"/>
    <w:rsid w:val="00013C5D"/>
    <w:rsid w:val="000146AD"/>
    <w:rsid w:val="00044E49"/>
    <w:rsid w:val="00051E1D"/>
    <w:rsid w:val="00056DDD"/>
    <w:rsid w:val="00062CE3"/>
    <w:rsid w:val="00062CFD"/>
    <w:rsid w:val="000673DE"/>
    <w:rsid w:val="00070885"/>
    <w:rsid w:val="00072703"/>
    <w:rsid w:val="0007339C"/>
    <w:rsid w:val="000762A1"/>
    <w:rsid w:val="000825AE"/>
    <w:rsid w:val="00084286"/>
    <w:rsid w:val="0008440E"/>
    <w:rsid w:val="000868A4"/>
    <w:rsid w:val="0009037E"/>
    <w:rsid w:val="00092025"/>
    <w:rsid w:val="00094F31"/>
    <w:rsid w:val="00097357"/>
    <w:rsid w:val="000974AC"/>
    <w:rsid w:val="000A3D1D"/>
    <w:rsid w:val="000B6FD5"/>
    <w:rsid w:val="000C7BB0"/>
    <w:rsid w:val="000D167A"/>
    <w:rsid w:val="000D4283"/>
    <w:rsid w:val="000D6155"/>
    <w:rsid w:val="000D64B7"/>
    <w:rsid w:val="000D7C8F"/>
    <w:rsid w:val="000E2960"/>
    <w:rsid w:val="000F4D0F"/>
    <w:rsid w:val="000F5D57"/>
    <w:rsid w:val="000F67B1"/>
    <w:rsid w:val="00104F03"/>
    <w:rsid w:val="00107E4C"/>
    <w:rsid w:val="00110D02"/>
    <w:rsid w:val="00112559"/>
    <w:rsid w:val="00114D95"/>
    <w:rsid w:val="00114EC2"/>
    <w:rsid w:val="00116439"/>
    <w:rsid w:val="001268FE"/>
    <w:rsid w:val="001327D9"/>
    <w:rsid w:val="00141BBE"/>
    <w:rsid w:val="00143425"/>
    <w:rsid w:val="00150C91"/>
    <w:rsid w:val="00151BF7"/>
    <w:rsid w:val="001527CB"/>
    <w:rsid w:val="00153280"/>
    <w:rsid w:val="001550B4"/>
    <w:rsid w:val="00160896"/>
    <w:rsid w:val="00170AE0"/>
    <w:rsid w:val="00171394"/>
    <w:rsid w:val="00172A27"/>
    <w:rsid w:val="00180F1C"/>
    <w:rsid w:val="00186A8F"/>
    <w:rsid w:val="00192329"/>
    <w:rsid w:val="001941A8"/>
    <w:rsid w:val="001A25A6"/>
    <w:rsid w:val="001A4F18"/>
    <w:rsid w:val="001A5A25"/>
    <w:rsid w:val="001A5E01"/>
    <w:rsid w:val="001B5818"/>
    <w:rsid w:val="001C5EEE"/>
    <w:rsid w:val="001C75E7"/>
    <w:rsid w:val="001D1764"/>
    <w:rsid w:val="001D4D03"/>
    <w:rsid w:val="001D4D81"/>
    <w:rsid w:val="001D65F8"/>
    <w:rsid w:val="001E15AB"/>
    <w:rsid w:val="001E211F"/>
    <w:rsid w:val="001F094B"/>
    <w:rsid w:val="002019A3"/>
    <w:rsid w:val="00204CAD"/>
    <w:rsid w:val="00210166"/>
    <w:rsid w:val="00213797"/>
    <w:rsid w:val="00217420"/>
    <w:rsid w:val="00225BCE"/>
    <w:rsid w:val="0022643E"/>
    <w:rsid w:val="0022752B"/>
    <w:rsid w:val="00227A85"/>
    <w:rsid w:val="00237253"/>
    <w:rsid w:val="0024064D"/>
    <w:rsid w:val="00244B27"/>
    <w:rsid w:val="00246FA6"/>
    <w:rsid w:val="0024734F"/>
    <w:rsid w:val="002537AF"/>
    <w:rsid w:val="00255B47"/>
    <w:rsid w:val="00255CA7"/>
    <w:rsid w:val="0026091A"/>
    <w:rsid w:val="002614A0"/>
    <w:rsid w:val="00262513"/>
    <w:rsid w:val="00270CA9"/>
    <w:rsid w:val="00270FCD"/>
    <w:rsid w:val="0027131A"/>
    <w:rsid w:val="00274DAD"/>
    <w:rsid w:val="00281BB9"/>
    <w:rsid w:val="00283FD0"/>
    <w:rsid w:val="002853ED"/>
    <w:rsid w:val="0028656A"/>
    <w:rsid w:val="00296CD8"/>
    <w:rsid w:val="002A42B5"/>
    <w:rsid w:val="002B64D8"/>
    <w:rsid w:val="002C17B3"/>
    <w:rsid w:val="002D14D9"/>
    <w:rsid w:val="002D1E4D"/>
    <w:rsid w:val="002D71CD"/>
    <w:rsid w:val="002F046F"/>
    <w:rsid w:val="00300C56"/>
    <w:rsid w:val="00301D7E"/>
    <w:rsid w:val="0030267C"/>
    <w:rsid w:val="003072BB"/>
    <w:rsid w:val="00310523"/>
    <w:rsid w:val="00313042"/>
    <w:rsid w:val="00313156"/>
    <w:rsid w:val="00315685"/>
    <w:rsid w:val="00317A23"/>
    <w:rsid w:val="00321DE9"/>
    <w:rsid w:val="00321DFF"/>
    <w:rsid w:val="00325180"/>
    <w:rsid w:val="0033100D"/>
    <w:rsid w:val="00333041"/>
    <w:rsid w:val="00345043"/>
    <w:rsid w:val="00357D3A"/>
    <w:rsid w:val="00364B39"/>
    <w:rsid w:val="00366245"/>
    <w:rsid w:val="00375182"/>
    <w:rsid w:val="003770ED"/>
    <w:rsid w:val="003840A7"/>
    <w:rsid w:val="003845F8"/>
    <w:rsid w:val="0038482A"/>
    <w:rsid w:val="003903AA"/>
    <w:rsid w:val="00390FFB"/>
    <w:rsid w:val="003952AA"/>
    <w:rsid w:val="003A2EAA"/>
    <w:rsid w:val="003A331F"/>
    <w:rsid w:val="003B0E16"/>
    <w:rsid w:val="003C2FC1"/>
    <w:rsid w:val="003C7766"/>
    <w:rsid w:val="003D4831"/>
    <w:rsid w:val="003D564D"/>
    <w:rsid w:val="003D6527"/>
    <w:rsid w:val="003D6E43"/>
    <w:rsid w:val="003E4558"/>
    <w:rsid w:val="003E748A"/>
    <w:rsid w:val="003F302C"/>
    <w:rsid w:val="003F3B49"/>
    <w:rsid w:val="003F4176"/>
    <w:rsid w:val="003F7270"/>
    <w:rsid w:val="00400BF6"/>
    <w:rsid w:val="004015F2"/>
    <w:rsid w:val="00417E40"/>
    <w:rsid w:val="00425A0D"/>
    <w:rsid w:val="00430C49"/>
    <w:rsid w:val="0043372B"/>
    <w:rsid w:val="004372DA"/>
    <w:rsid w:val="0044316F"/>
    <w:rsid w:val="00445780"/>
    <w:rsid w:val="0044696F"/>
    <w:rsid w:val="00447952"/>
    <w:rsid w:val="00450E4A"/>
    <w:rsid w:val="00455614"/>
    <w:rsid w:val="00461B56"/>
    <w:rsid w:val="00471D50"/>
    <w:rsid w:val="004722F4"/>
    <w:rsid w:val="0047340A"/>
    <w:rsid w:val="00476246"/>
    <w:rsid w:val="00477836"/>
    <w:rsid w:val="004816BE"/>
    <w:rsid w:val="00485DD8"/>
    <w:rsid w:val="00495599"/>
    <w:rsid w:val="00495759"/>
    <w:rsid w:val="00496277"/>
    <w:rsid w:val="004A03B1"/>
    <w:rsid w:val="004A29D8"/>
    <w:rsid w:val="004A4DC8"/>
    <w:rsid w:val="004A7BE1"/>
    <w:rsid w:val="004C4016"/>
    <w:rsid w:val="004C4297"/>
    <w:rsid w:val="004C45B9"/>
    <w:rsid w:val="004C5454"/>
    <w:rsid w:val="004D2D71"/>
    <w:rsid w:val="004D7DDD"/>
    <w:rsid w:val="004E4BDC"/>
    <w:rsid w:val="004E7FC6"/>
    <w:rsid w:val="004F5EA5"/>
    <w:rsid w:val="00504539"/>
    <w:rsid w:val="00506D21"/>
    <w:rsid w:val="00507231"/>
    <w:rsid w:val="00507EE6"/>
    <w:rsid w:val="00510F1C"/>
    <w:rsid w:val="0051182C"/>
    <w:rsid w:val="00512D43"/>
    <w:rsid w:val="00523916"/>
    <w:rsid w:val="005302CF"/>
    <w:rsid w:val="00533839"/>
    <w:rsid w:val="005366D7"/>
    <w:rsid w:val="0054188D"/>
    <w:rsid w:val="00542CAC"/>
    <w:rsid w:val="005433EF"/>
    <w:rsid w:val="00543401"/>
    <w:rsid w:val="005436E8"/>
    <w:rsid w:val="00543865"/>
    <w:rsid w:val="0054437B"/>
    <w:rsid w:val="00546001"/>
    <w:rsid w:val="005465DD"/>
    <w:rsid w:val="005500A3"/>
    <w:rsid w:val="00550793"/>
    <w:rsid w:val="005510EA"/>
    <w:rsid w:val="00551706"/>
    <w:rsid w:val="00551B9F"/>
    <w:rsid w:val="00570556"/>
    <w:rsid w:val="005705F7"/>
    <w:rsid w:val="0057099B"/>
    <w:rsid w:val="00575E2F"/>
    <w:rsid w:val="00576B3A"/>
    <w:rsid w:val="00576C95"/>
    <w:rsid w:val="005803F1"/>
    <w:rsid w:val="00585DCB"/>
    <w:rsid w:val="00590BEE"/>
    <w:rsid w:val="0059218A"/>
    <w:rsid w:val="00595185"/>
    <w:rsid w:val="0059714D"/>
    <w:rsid w:val="0059728C"/>
    <w:rsid w:val="00597A00"/>
    <w:rsid w:val="005A26F2"/>
    <w:rsid w:val="005A4CAC"/>
    <w:rsid w:val="005A51CB"/>
    <w:rsid w:val="005B35C2"/>
    <w:rsid w:val="005B42B4"/>
    <w:rsid w:val="005B609B"/>
    <w:rsid w:val="005C23E5"/>
    <w:rsid w:val="005C4B31"/>
    <w:rsid w:val="005C541F"/>
    <w:rsid w:val="005C6F41"/>
    <w:rsid w:val="005D043C"/>
    <w:rsid w:val="005D5AB2"/>
    <w:rsid w:val="005D6026"/>
    <w:rsid w:val="005E1797"/>
    <w:rsid w:val="00604953"/>
    <w:rsid w:val="00605B9E"/>
    <w:rsid w:val="00606AD3"/>
    <w:rsid w:val="00612FD1"/>
    <w:rsid w:val="00615487"/>
    <w:rsid w:val="00615714"/>
    <w:rsid w:val="0061574F"/>
    <w:rsid w:val="00615842"/>
    <w:rsid w:val="006165AF"/>
    <w:rsid w:val="006302C6"/>
    <w:rsid w:val="00630937"/>
    <w:rsid w:val="006326C8"/>
    <w:rsid w:val="00632E34"/>
    <w:rsid w:val="00635BC8"/>
    <w:rsid w:val="00641408"/>
    <w:rsid w:val="006445CA"/>
    <w:rsid w:val="006505EB"/>
    <w:rsid w:val="0065076A"/>
    <w:rsid w:val="00650FBE"/>
    <w:rsid w:val="00651C4A"/>
    <w:rsid w:val="00660A5B"/>
    <w:rsid w:val="00663594"/>
    <w:rsid w:val="00670F94"/>
    <w:rsid w:val="0068022E"/>
    <w:rsid w:val="00681279"/>
    <w:rsid w:val="00687B6C"/>
    <w:rsid w:val="006916BE"/>
    <w:rsid w:val="006B5BAC"/>
    <w:rsid w:val="006C412E"/>
    <w:rsid w:val="006C431B"/>
    <w:rsid w:val="006C7238"/>
    <w:rsid w:val="006C72F8"/>
    <w:rsid w:val="006D65EA"/>
    <w:rsid w:val="006E5B34"/>
    <w:rsid w:val="006F2CD2"/>
    <w:rsid w:val="007034A5"/>
    <w:rsid w:val="0071512C"/>
    <w:rsid w:val="00727062"/>
    <w:rsid w:val="00736A14"/>
    <w:rsid w:val="007531DC"/>
    <w:rsid w:val="007533BA"/>
    <w:rsid w:val="00757674"/>
    <w:rsid w:val="00762BF1"/>
    <w:rsid w:val="007647ED"/>
    <w:rsid w:val="00773441"/>
    <w:rsid w:val="0078096D"/>
    <w:rsid w:val="007876FE"/>
    <w:rsid w:val="00787C4D"/>
    <w:rsid w:val="00793897"/>
    <w:rsid w:val="00795464"/>
    <w:rsid w:val="007A4588"/>
    <w:rsid w:val="007A5CB1"/>
    <w:rsid w:val="007A6554"/>
    <w:rsid w:val="007A66E1"/>
    <w:rsid w:val="007B5C10"/>
    <w:rsid w:val="007B6299"/>
    <w:rsid w:val="007C6CA0"/>
    <w:rsid w:val="007C6CF2"/>
    <w:rsid w:val="007D03D2"/>
    <w:rsid w:val="007D0D6F"/>
    <w:rsid w:val="007D1884"/>
    <w:rsid w:val="007D2A08"/>
    <w:rsid w:val="007D42D8"/>
    <w:rsid w:val="007D7380"/>
    <w:rsid w:val="007D73F0"/>
    <w:rsid w:val="007E76D4"/>
    <w:rsid w:val="007F6EA9"/>
    <w:rsid w:val="008010D2"/>
    <w:rsid w:val="00805CC8"/>
    <w:rsid w:val="008076C0"/>
    <w:rsid w:val="00807EC0"/>
    <w:rsid w:val="00817C06"/>
    <w:rsid w:val="00821309"/>
    <w:rsid w:val="00822C4B"/>
    <w:rsid w:val="00830D46"/>
    <w:rsid w:val="00831AAB"/>
    <w:rsid w:val="008370C5"/>
    <w:rsid w:val="008405FC"/>
    <w:rsid w:val="00840F5E"/>
    <w:rsid w:val="00843821"/>
    <w:rsid w:val="00846EA4"/>
    <w:rsid w:val="0084762E"/>
    <w:rsid w:val="00850DF2"/>
    <w:rsid w:val="00856D41"/>
    <w:rsid w:val="00856DF4"/>
    <w:rsid w:val="00864AA6"/>
    <w:rsid w:val="00865178"/>
    <w:rsid w:val="008653DF"/>
    <w:rsid w:val="00882111"/>
    <w:rsid w:val="00882853"/>
    <w:rsid w:val="008836AB"/>
    <w:rsid w:val="00887618"/>
    <w:rsid w:val="00892131"/>
    <w:rsid w:val="0089224A"/>
    <w:rsid w:val="0089263D"/>
    <w:rsid w:val="00893536"/>
    <w:rsid w:val="00893B53"/>
    <w:rsid w:val="008A79D1"/>
    <w:rsid w:val="008A7B6C"/>
    <w:rsid w:val="008B315A"/>
    <w:rsid w:val="008B57C5"/>
    <w:rsid w:val="008C4E1B"/>
    <w:rsid w:val="008C54F2"/>
    <w:rsid w:val="008C6A12"/>
    <w:rsid w:val="008D4AAB"/>
    <w:rsid w:val="008E09C9"/>
    <w:rsid w:val="008E6538"/>
    <w:rsid w:val="008E6CA1"/>
    <w:rsid w:val="008F0C49"/>
    <w:rsid w:val="009126A8"/>
    <w:rsid w:val="00915898"/>
    <w:rsid w:val="00922B6A"/>
    <w:rsid w:val="009329F5"/>
    <w:rsid w:val="009334EC"/>
    <w:rsid w:val="009370D5"/>
    <w:rsid w:val="0094315E"/>
    <w:rsid w:val="00952ACE"/>
    <w:rsid w:val="00954839"/>
    <w:rsid w:val="009564FD"/>
    <w:rsid w:val="009636E1"/>
    <w:rsid w:val="00971603"/>
    <w:rsid w:val="00971C55"/>
    <w:rsid w:val="00972BF1"/>
    <w:rsid w:val="00975DD3"/>
    <w:rsid w:val="0098098A"/>
    <w:rsid w:val="009830B2"/>
    <w:rsid w:val="0099575A"/>
    <w:rsid w:val="00996217"/>
    <w:rsid w:val="009963F8"/>
    <w:rsid w:val="009A3820"/>
    <w:rsid w:val="009A3FA8"/>
    <w:rsid w:val="009B39B0"/>
    <w:rsid w:val="009E7D0D"/>
    <w:rsid w:val="009F103C"/>
    <w:rsid w:val="00A03269"/>
    <w:rsid w:val="00A05211"/>
    <w:rsid w:val="00A14D42"/>
    <w:rsid w:val="00A15F52"/>
    <w:rsid w:val="00A23954"/>
    <w:rsid w:val="00A26D5A"/>
    <w:rsid w:val="00A32599"/>
    <w:rsid w:val="00A32AE6"/>
    <w:rsid w:val="00A33EE0"/>
    <w:rsid w:val="00A36C09"/>
    <w:rsid w:val="00A44312"/>
    <w:rsid w:val="00A54CD2"/>
    <w:rsid w:val="00A56B10"/>
    <w:rsid w:val="00A61514"/>
    <w:rsid w:val="00A658DE"/>
    <w:rsid w:val="00A659F4"/>
    <w:rsid w:val="00A713DD"/>
    <w:rsid w:val="00A71F51"/>
    <w:rsid w:val="00A74E01"/>
    <w:rsid w:val="00A75899"/>
    <w:rsid w:val="00A81469"/>
    <w:rsid w:val="00A83091"/>
    <w:rsid w:val="00A85318"/>
    <w:rsid w:val="00A85E01"/>
    <w:rsid w:val="00A906B0"/>
    <w:rsid w:val="00A944A9"/>
    <w:rsid w:val="00A95940"/>
    <w:rsid w:val="00A95C03"/>
    <w:rsid w:val="00A96C17"/>
    <w:rsid w:val="00AA251B"/>
    <w:rsid w:val="00AA3381"/>
    <w:rsid w:val="00AA4030"/>
    <w:rsid w:val="00AA4CEB"/>
    <w:rsid w:val="00AA55DB"/>
    <w:rsid w:val="00AA59EB"/>
    <w:rsid w:val="00AA758C"/>
    <w:rsid w:val="00AB3E6F"/>
    <w:rsid w:val="00AB6C40"/>
    <w:rsid w:val="00AB7D2A"/>
    <w:rsid w:val="00AC0EB2"/>
    <w:rsid w:val="00AC1C5D"/>
    <w:rsid w:val="00AC44B1"/>
    <w:rsid w:val="00AC480F"/>
    <w:rsid w:val="00AD1A98"/>
    <w:rsid w:val="00AD2D1A"/>
    <w:rsid w:val="00AD37C2"/>
    <w:rsid w:val="00AD64EF"/>
    <w:rsid w:val="00AE5027"/>
    <w:rsid w:val="00AE6B58"/>
    <w:rsid w:val="00AF0FD6"/>
    <w:rsid w:val="00B06F0A"/>
    <w:rsid w:val="00B07CBA"/>
    <w:rsid w:val="00B15CEB"/>
    <w:rsid w:val="00B22BC1"/>
    <w:rsid w:val="00B22E34"/>
    <w:rsid w:val="00B327D6"/>
    <w:rsid w:val="00B35DAA"/>
    <w:rsid w:val="00B3709C"/>
    <w:rsid w:val="00B409C4"/>
    <w:rsid w:val="00B4701C"/>
    <w:rsid w:val="00B47761"/>
    <w:rsid w:val="00B503A9"/>
    <w:rsid w:val="00B5240F"/>
    <w:rsid w:val="00B60822"/>
    <w:rsid w:val="00B61704"/>
    <w:rsid w:val="00B65AFA"/>
    <w:rsid w:val="00B67B23"/>
    <w:rsid w:val="00B7666A"/>
    <w:rsid w:val="00B76B1D"/>
    <w:rsid w:val="00B860DA"/>
    <w:rsid w:val="00B93BA4"/>
    <w:rsid w:val="00B971F2"/>
    <w:rsid w:val="00BA383B"/>
    <w:rsid w:val="00BA50CE"/>
    <w:rsid w:val="00BA5DE8"/>
    <w:rsid w:val="00BB13E5"/>
    <w:rsid w:val="00BB191D"/>
    <w:rsid w:val="00BC2CFF"/>
    <w:rsid w:val="00BD0B4F"/>
    <w:rsid w:val="00BD2BDC"/>
    <w:rsid w:val="00BD44F0"/>
    <w:rsid w:val="00BE2342"/>
    <w:rsid w:val="00BE51E7"/>
    <w:rsid w:val="00BF36AF"/>
    <w:rsid w:val="00C010EB"/>
    <w:rsid w:val="00C0320D"/>
    <w:rsid w:val="00C07AAC"/>
    <w:rsid w:val="00C11BB2"/>
    <w:rsid w:val="00C202EC"/>
    <w:rsid w:val="00C20AC8"/>
    <w:rsid w:val="00C23537"/>
    <w:rsid w:val="00C30E5D"/>
    <w:rsid w:val="00C31304"/>
    <w:rsid w:val="00C3164C"/>
    <w:rsid w:val="00C344B2"/>
    <w:rsid w:val="00C5260F"/>
    <w:rsid w:val="00C52960"/>
    <w:rsid w:val="00C54CD5"/>
    <w:rsid w:val="00C626D7"/>
    <w:rsid w:val="00C63FF4"/>
    <w:rsid w:val="00C65F1E"/>
    <w:rsid w:val="00C71C16"/>
    <w:rsid w:val="00C735C8"/>
    <w:rsid w:val="00C74E15"/>
    <w:rsid w:val="00C83694"/>
    <w:rsid w:val="00C9029D"/>
    <w:rsid w:val="00C91543"/>
    <w:rsid w:val="00C92CE2"/>
    <w:rsid w:val="00C92D74"/>
    <w:rsid w:val="00C97997"/>
    <w:rsid w:val="00CA110C"/>
    <w:rsid w:val="00CA274B"/>
    <w:rsid w:val="00CA2F2B"/>
    <w:rsid w:val="00CA5738"/>
    <w:rsid w:val="00CA63EA"/>
    <w:rsid w:val="00CA703F"/>
    <w:rsid w:val="00CC028C"/>
    <w:rsid w:val="00CC3409"/>
    <w:rsid w:val="00CD3639"/>
    <w:rsid w:val="00CE2467"/>
    <w:rsid w:val="00CE376E"/>
    <w:rsid w:val="00CE3CDF"/>
    <w:rsid w:val="00CF7AB1"/>
    <w:rsid w:val="00D01CB1"/>
    <w:rsid w:val="00D06C85"/>
    <w:rsid w:val="00D15E87"/>
    <w:rsid w:val="00D20FD7"/>
    <w:rsid w:val="00D3055A"/>
    <w:rsid w:val="00D33585"/>
    <w:rsid w:val="00D35967"/>
    <w:rsid w:val="00D473CC"/>
    <w:rsid w:val="00D62F0E"/>
    <w:rsid w:val="00D6770C"/>
    <w:rsid w:val="00D71845"/>
    <w:rsid w:val="00D76FE3"/>
    <w:rsid w:val="00D77E2B"/>
    <w:rsid w:val="00D87089"/>
    <w:rsid w:val="00D91488"/>
    <w:rsid w:val="00D93350"/>
    <w:rsid w:val="00D9581E"/>
    <w:rsid w:val="00DA1B01"/>
    <w:rsid w:val="00DA1CAB"/>
    <w:rsid w:val="00DA24C2"/>
    <w:rsid w:val="00DA3313"/>
    <w:rsid w:val="00DA5D15"/>
    <w:rsid w:val="00DA7B89"/>
    <w:rsid w:val="00DB3348"/>
    <w:rsid w:val="00DB493B"/>
    <w:rsid w:val="00DB5CA6"/>
    <w:rsid w:val="00DB6C12"/>
    <w:rsid w:val="00DC0CA7"/>
    <w:rsid w:val="00DC2D33"/>
    <w:rsid w:val="00DC6800"/>
    <w:rsid w:val="00DD03B0"/>
    <w:rsid w:val="00DD1E08"/>
    <w:rsid w:val="00DD79BD"/>
    <w:rsid w:val="00DE5F4A"/>
    <w:rsid w:val="00DF5AC2"/>
    <w:rsid w:val="00DF5F56"/>
    <w:rsid w:val="00E002A4"/>
    <w:rsid w:val="00E00F55"/>
    <w:rsid w:val="00E04132"/>
    <w:rsid w:val="00E042B1"/>
    <w:rsid w:val="00E11408"/>
    <w:rsid w:val="00E11DD9"/>
    <w:rsid w:val="00E212A6"/>
    <w:rsid w:val="00E3070B"/>
    <w:rsid w:val="00E31B2B"/>
    <w:rsid w:val="00E34FA9"/>
    <w:rsid w:val="00E45E80"/>
    <w:rsid w:val="00E56DD0"/>
    <w:rsid w:val="00E6124B"/>
    <w:rsid w:val="00E72BF8"/>
    <w:rsid w:val="00E72FB1"/>
    <w:rsid w:val="00E73EAF"/>
    <w:rsid w:val="00E8212E"/>
    <w:rsid w:val="00E83B5C"/>
    <w:rsid w:val="00E8526C"/>
    <w:rsid w:val="00E9102C"/>
    <w:rsid w:val="00E91B3A"/>
    <w:rsid w:val="00E9200C"/>
    <w:rsid w:val="00E92181"/>
    <w:rsid w:val="00E9670D"/>
    <w:rsid w:val="00E96F0F"/>
    <w:rsid w:val="00E97635"/>
    <w:rsid w:val="00EA0F01"/>
    <w:rsid w:val="00EA10CB"/>
    <w:rsid w:val="00EA4EE9"/>
    <w:rsid w:val="00EA55DA"/>
    <w:rsid w:val="00EA7A18"/>
    <w:rsid w:val="00EB0C8B"/>
    <w:rsid w:val="00EB73DC"/>
    <w:rsid w:val="00EB7945"/>
    <w:rsid w:val="00ED0C58"/>
    <w:rsid w:val="00ED2151"/>
    <w:rsid w:val="00ED4646"/>
    <w:rsid w:val="00ED501C"/>
    <w:rsid w:val="00ED51C5"/>
    <w:rsid w:val="00EE51BB"/>
    <w:rsid w:val="00EE6DF6"/>
    <w:rsid w:val="00EF6516"/>
    <w:rsid w:val="00EF6752"/>
    <w:rsid w:val="00F009BB"/>
    <w:rsid w:val="00F00BB6"/>
    <w:rsid w:val="00F0698B"/>
    <w:rsid w:val="00F06C18"/>
    <w:rsid w:val="00F12732"/>
    <w:rsid w:val="00F140C7"/>
    <w:rsid w:val="00F17505"/>
    <w:rsid w:val="00F26E31"/>
    <w:rsid w:val="00F30931"/>
    <w:rsid w:val="00F55CCD"/>
    <w:rsid w:val="00F63BDD"/>
    <w:rsid w:val="00F6419D"/>
    <w:rsid w:val="00F6666C"/>
    <w:rsid w:val="00F67A10"/>
    <w:rsid w:val="00F67EC8"/>
    <w:rsid w:val="00F7148D"/>
    <w:rsid w:val="00F736FF"/>
    <w:rsid w:val="00F749E6"/>
    <w:rsid w:val="00F812F6"/>
    <w:rsid w:val="00F86049"/>
    <w:rsid w:val="00F95B87"/>
    <w:rsid w:val="00FB379A"/>
    <w:rsid w:val="00FB54C4"/>
    <w:rsid w:val="00FB6271"/>
    <w:rsid w:val="00FC0C11"/>
    <w:rsid w:val="00FC785A"/>
    <w:rsid w:val="00FD4450"/>
    <w:rsid w:val="00FD7D7C"/>
    <w:rsid w:val="00FE0B94"/>
    <w:rsid w:val="00FE1E82"/>
    <w:rsid w:val="00FE25CC"/>
    <w:rsid w:val="00FE51D3"/>
    <w:rsid w:val="00FF28A5"/>
    <w:rsid w:val="00FF4324"/>
    <w:rsid w:val="03E02050"/>
    <w:rsid w:val="05133C63"/>
    <w:rsid w:val="07B216D4"/>
    <w:rsid w:val="151A668E"/>
    <w:rsid w:val="2D3057D8"/>
    <w:rsid w:val="2E16644D"/>
    <w:rsid w:val="2E8664EC"/>
    <w:rsid w:val="360B4FB0"/>
    <w:rsid w:val="3B98540C"/>
    <w:rsid w:val="5048199C"/>
    <w:rsid w:val="50F10A64"/>
    <w:rsid w:val="52413DF3"/>
    <w:rsid w:val="58905A40"/>
    <w:rsid w:val="58FE13CC"/>
    <w:rsid w:val="60BB1E0D"/>
    <w:rsid w:val="7EC94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387"/>
        <o:r id="V:Rule2" type="connector" idref="#_x0000_s1388"/>
        <o:r id="V:Rule3" type="connector" idref="#_x0000_s1395"/>
        <o:r id="V:Rule4" type="connector" idref="#_x0000_s1396"/>
        <o:r id="V:Rule5" type="connector" idref="#_x0000_s1397"/>
        <o:r id="V:Rule6" type="connector" idref="#_x0000_s1399"/>
        <o:r id="V:Rule7" type="connector" idref="#自选图形 4"/>
        <o:r id="V:Rule8" type="connector" idref="#自选图形 5"/>
        <o:r id="V:Rule9" type="connector" idref="#自选图形 6"/>
        <o:r id="V:Rule10" type="connector" idref="#自选图形 63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260" w:after="260" w:line="408" w:lineRule="auto"/>
      <w:ind w:left="578" w:hanging="578"/>
      <w:jc w:val="both"/>
    </w:pPr>
    <w:rPr>
      <w:rFonts w:ascii="Calibri" w:hAnsi="Calibri" w:eastAsia="宋体" w:cs="Times New Roman"/>
      <w:kern w:val="2"/>
      <w:sz w:val="21"/>
      <w:szCs w:val="21"/>
      <w:lang w:val="en-US" w:eastAsia="zh-CN" w:bidi="ar-SA"/>
    </w:rPr>
  </w:style>
  <w:style w:type="paragraph" w:styleId="2">
    <w:name w:val="heading 1"/>
    <w:basedOn w:val="1"/>
    <w:next w:val="1"/>
    <w:link w:val="24"/>
    <w:qFormat/>
    <w:uiPriority w:val="0"/>
    <w:pPr>
      <w:keepNext/>
      <w:keepLines/>
      <w:spacing w:beforeLines="100" w:line="576" w:lineRule="auto"/>
      <w:ind w:left="1980" w:hanging="420"/>
      <w:jc w:val="center"/>
      <w:outlineLvl w:val="0"/>
    </w:pPr>
    <w:rPr>
      <w:rFonts w:eastAsia="黑体"/>
      <w:b/>
      <w:bCs/>
      <w:kern w:val="44"/>
      <w:sz w:val="32"/>
      <w:szCs w:val="44"/>
    </w:rPr>
  </w:style>
  <w:style w:type="paragraph" w:styleId="3">
    <w:name w:val="heading 2"/>
    <w:basedOn w:val="1"/>
    <w:next w:val="1"/>
    <w:link w:val="25"/>
    <w:qFormat/>
    <w:uiPriority w:val="0"/>
    <w:pPr>
      <w:keepNext/>
      <w:keepLines/>
      <w:ind w:left="576" w:hanging="576"/>
      <w:outlineLvl w:val="1"/>
    </w:pPr>
    <w:rPr>
      <w:rFonts w:ascii="Arial" w:hAnsi="Arial" w:eastAsia="黑体"/>
      <w:kern w:val="0"/>
      <w:sz w:val="32"/>
      <w:szCs w:val="32"/>
    </w:rPr>
  </w:style>
  <w:style w:type="paragraph" w:styleId="4">
    <w:name w:val="heading 3"/>
    <w:basedOn w:val="1"/>
    <w:next w:val="1"/>
    <w:link w:val="26"/>
    <w:qFormat/>
    <w:uiPriority w:val="0"/>
    <w:pPr>
      <w:keepNext/>
      <w:keepLines/>
      <w:spacing w:before="120" w:line="240" w:lineRule="atLeast"/>
      <w:outlineLvl w:val="2"/>
    </w:pPr>
    <w:rPr>
      <w:rFonts w:ascii="Times New Roman" w:hAnsi="Times New Roman"/>
      <w:kern w:val="0"/>
      <w:sz w:val="24"/>
      <w:szCs w:val="32"/>
    </w:rPr>
  </w:style>
  <w:style w:type="character" w:default="1" w:styleId="15">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34"/>
    <w:semiHidden/>
    <w:unhideWhenUsed/>
    <w:qFormat/>
    <w:uiPriority w:val="99"/>
    <w:rPr>
      <w:b/>
      <w:bCs/>
    </w:rPr>
  </w:style>
  <w:style w:type="paragraph" w:styleId="6">
    <w:name w:val="annotation text"/>
    <w:basedOn w:val="1"/>
    <w:link w:val="33"/>
    <w:semiHidden/>
    <w:unhideWhenUsed/>
    <w:uiPriority w:val="99"/>
    <w:pPr>
      <w:jc w:val="left"/>
    </w:pPr>
    <w:rPr>
      <w:rFonts w:asciiTheme="minorHAnsi" w:hAnsiTheme="minorHAnsi" w:eastAsiaTheme="minorEastAsia" w:cstheme="minorBidi"/>
      <w:szCs w:val="22"/>
    </w:rPr>
  </w:style>
  <w:style w:type="paragraph" w:styleId="7">
    <w:name w:val="caption"/>
    <w:basedOn w:val="1"/>
    <w:next w:val="1"/>
    <w:link w:val="36"/>
    <w:qFormat/>
    <w:uiPriority w:val="0"/>
    <w:pPr>
      <w:jc w:val="center"/>
    </w:pPr>
    <w:rPr>
      <w:rFonts w:ascii="Arial" w:hAnsi="Arial" w:eastAsia="黑体"/>
      <w:kern w:val="0"/>
      <w:sz w:val="20"/>
      <w:szCs w:val="20"/>
    </w:rPr>
  </w:style>
  <w:style w:type="paragraph" w:styleId="8">
    <w:name w:val="Document Map"/>
    <w:basedOn w:val="1"/>
    <w:link w:val="35"/>
    <w:semiHidden/>
    <w:unhideWhenUsed/>
    <w:uiPriority w:val="99"/>
    <w:rPr>
      <w:rFonts w:ascii="宋体"/>
      <w:sz w:val="18"/>
      <w:szCs w:val="18"/>
    </w:rPr>
  </w:style>
  <w:style w:type="paragraph" w:styleId="9">
    <w:name w:val="Balloon Text"/>
    <w:basedOn w:val="1"/>
    <w:link w:val="23"/>
    <w:semiHidden/>
    <w:unhideWhenUsed/>
    <w:uiPriority w:val="99"/>
    <w:rPr>
      <w:sz w:val="18"/>
      <w:szCs w:val="18"/>
    </w:rPr>
  </w:style>
  <w:style w:type="paragraph" w:styleId="10">
    <w:name w:val="footer"/>
    <w:basedOn w:val="1"/>
    <w:link w:val="22"/>
    <w:unhideWhenUsed/>
    <w:uiPriority w:val="99"/>
    <w:pPr>
      <w:tabs>
        <w:tab w:val="center" w:pos="4153"/>
        <w:tab w:val="right" w:pos="8306"/>
      </w:tabs>
      <w:snapToGrid w:val="0"/>
      <w:jc w:val="left"/>
    </w:pPr>
    <w:rPr>
      <w:sz w:val="18"/>
      <w:szCs w:val="18"/>
    </w:rPr>
  </w:style>
  <w:style w:type="paragraph" w:styleId="11">
    <w:name w:val="header"/>
    <w:basedOn w:val="1"/>
    <w:link w:val="20"/>
    <w:uiPriority w:val="99"/>
    <w:pPr>
      <w:tabs>
        <w:tab w:val="center" w:pos="4153"/>
        <w:tab w:val="right" w:pos="8306"/>
      </w:tabs>
      <w:snapToGrid w:val="0"/>
      <w:jc w:val="center"/>
    </w:pPr>
    <w:rPr>
      <w:rFonts w:ascii="Times New Roman" w:hAnsi="Times New Roman"/>
      <w:kern w:val="0"/>
      <w:sz w:val="18"/>
      <w:szCs w:val="18"/>
    </w:rPr>
  </w:style>
  <w:style w:type="paragraph" w:styleId="12">
    <w:name w:val="toc 1"/>
    <w:basedOn w:val="1"/>
    <w:next w:val="1"/>
    <w:qFormat/>
    <w:uiPriority w:val="39"/>
    <w:rPr>
      <w:szCs w:val="24"/>
    </w:rPr>
  </w:style>
  <w:style w:type="paragraph" w:styleId="13">
    <w:name w:val="toc 2"/>
    <w:basedOn w:val="1"/>
    <w:next w:val="1"/>
    <w:unhideWhenUsed/>
    <w:uiPriority w:val="39"/>
    <w:pPr>
      <w:ind w:left="420" w:leftChars="200"/>
    </w:p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Hyperlink"/>
    <w:basedOn w:val="15"/>
    <w:unhideWhenUsed/>
    <w:qFormat/>
    <w:uiPriority w:val="99"/>
    <w:rPr>
      <w:color w:val="0000FF"/>
      <w:u w:val="single"/>
    </w:rPr>
  </w:style>
  <w:style w:type="character" w:styleId="17">
    <w:name w:val="annotation reference"/>
    <w:basedOn w:val="15"/>
    <w:unhideWhenUsed/>
    <w:qFormat/>
    <w:uiPriority w:val="99"/>
    <w:rPr>
      <w:sz w:val="21"/>
      <w:szCs w:val="21"/>
    </w:rPr>
  </w:style>
  <w:style w:type="table" w:styleId="19">
    <w:name w:val="Table Grid"/>
    <w:basedOn w:val="18"/>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
    <w:name w:val="页眉 Char"/>
    <w:basedOn w:val="15"/>
    <w:link w:val="11"/>
    <w:qFormat/>
    <w:uiPriority w:val="99"/>
    <w:rPr>
      <w:rFonts w:ascii="Times New Roman" w:hAnsi="Times New Roman" w:eastAsia="宋体" w:cs="Times New Roman"/>
      <w:kern w:val="0"/>
      <w:sz w:val="18"/>
      <w:szCs w:val="18"/>
    </w:rPr>
  </w:style>
  <w:style w:type="paragraph" w:styleId="21">
    <w:name w:val="No Spacing"/>
    <w:qFormat/>
    <w:uiPriority w:val="1"/>
    <w:pPr>
      <w:widowControl w:val="0"/>
      <w:spacing w:before="260" w:after="260" w:line="408" w:lineRule="auto"/>
      <w:ind w:left="578" w:hanging="578"/>
      <w:jc w:val="both"/>
    </w:pPr>
    <w:rPr>
      <w:rFonts w:ascii="Calibri" w:hAnsi="Calibri" w:eastAsia="宋体" w:cs="Times New Roman"/>
      <w:kern w:val="2"/>
      <w:sz w:val="21"/>
      <w:szCs w:val="21"/>
      <w:lang w:val="en-US" w:eastAsia="zh-CN" w:bidi="ar-SA"/>
    </w:rPr>
  </w:style>
  <w:style w:type="character" w:customStyle="1" w:styleId="22">
    <w:name w:val="页脚 Char"/>
    <w:basedOn w:val="15"/>
    <w:link w:val="10"/>
    <w:qFormat/>
    <w:uiPriority w:val="99"/>
    <w:rPr>
      <w:rFonts w:ascii="Calibri" w:hAnsi="Calibri" w:eastAsia="宋体" w:cs="Times New Roman"/>
      <w:sz w:val="18"/>
      <w:szCs w:val="18"/>
    </w:rPr>
  </w:style>
  <w:style w:type="character" w:customStyle="1" w:styleId="23">
    <w:name w:val="批注框文本 Char"/>
    <w:basedOn w:val="15"/>
    <w:link w:val="9"/>
    <w:semiHidden/>
    <w:qFormat/>
    <w:uiPriority w:val="99"/>
    <w:rPr>
      <w:rFonts w:ascii="Calibri" w:hAnsi="Calibri" w:eastAsia="宋体" w:cs="Times New Roman"/>
      <w:sz w:val="18"/>
      <w:szCs w:val="18"/>
    </w:rPr>
  </w:style>
  <w:style w:type="character" w:customStyle="1" w:styleId="24">
    <w:name w:val="标题 1 Char"/>
    <w:basedOn w:val="15"/>
    <w:link w:val="2"/>
    <w:qFormat/>
    <w:uiPriority w:val="0"/>
    <w:rPr>
      <w:rFonts w:ascii="Calibri" w:hAnsi="Calibri" w:eastAsia="黑体" w:cs="Times New Roman"/>
      <w:b/>
      <w:bCs/>
      <w:kern w:val="44"/>
      <w:sz w:val="32"/>
      <w:szCs w:val="44"/>
    </w:rPr>
  </w:style>
  <w:style w:type="character" w:customStyle="1" w:styleId="25">
    <w:name w:val="标题 2 Char"/>
    <w:basedOn w:val="15"/>
    <w:link w:val="3"/>
    <w:qFormat/>
    <w:uiPriority w:val="0"/>
    <w:rPr>
      <w:rFonts w:ascii="Arial" w:hAnsi="Arial" w:eastAsia="黑体" w:cs="Times New Roman"/>
      <w:sz w:val="32"/>
      <w:szCs w:val="32"/>
    </w:rPr>
  </w:style>
  <w:style w:type="character" w:customStyle="1" w:styleId="26">
    <w:name w:val="标题 3 Char"/>
    <w:basedOn w:val="15"/>
    <w:link w:val="4"/>
    <w:qFormat/>
    <w:uiPriority w:val="0"/>
    <w:rPr>
      <w:rFonts w:ascii="Times New Roman" w:hAnsi="Times New Roman" w:eastAsia="宋体" w:cs="Times New Roman"/>
      <w:sz w:val="24"/>
      <w:szCs w:val="32"/>
    </w:rPr>
  </w:style>
  <w:style w:type="paragraph" w:customStyle="1" w:styleId="27">
    <w:name w:val="正文内容"/>
    <w:basedOn w:val="1"/>
    <w:link w:val="28"/>
    <w:qFormat/>
    <w:uiPriority w:val="0"/>
    <w:pPr>
      <w:spacing w:line="360" w:lineRule="auto"/>
      <w:ind w:firstLine="200" w:firstLineChars="200"/>
    </w:pPr>
    <w:rPr>
      <w:rFonts w:ascii="Times New Roman" w:hAnsi="Times New Roman"/>
      <w:kern w:val="0"/>
      <w:sz w:val="24"/>
      <w:szCs w:val="24"/>
    </w:rPr>
  </w:style>
  <w:style w:type="character" w:customStyle="1" w:styleId="28">
    <w:name w:val="正文内容 Char Char"/>
    <w:link w:val="27"/>
    <w:qFormat/>
    <w:uiPriority w:val="0"/>
    <w:rPr>
      <w:rFonts w:ascii="Times New Roman" w:hAnsi="Times New Roman" w:eastAsia="宋体" w:cs="Times New Roman"/>
      <w:sz w:val="24"/>
      <w:szCs w:val="24"/>
    </w:rPr>
  </w:style>
  <w:style w:type="character" w:customStyle="1" w:styleId="29">
    <w:name w:val="题注 Char"/>
    <w:qFormat/>
    <w:uiPriority w:val="0"/>
    <w:rPr>
      <w:rFonts w:ascii="Arial" w:hAnsi="Arial" w:eastAsia="黑体" w:cs="Times New Roman"/>
    </w:rPr>
  </w:style>
  <w:style w:type="paragraph" w:styleId="30">
    <w:name w:val="List Paragraph"/>
    <w:basedOn w:val="1"/>
    <w:qFormat/>
    <w:uiPriority w:val="34"/>
    <w:pPr>
      <w:widowControl/>
      <w:ind w:firstLine="420" w:firstLineChars="200"/>
      <w:jc w:val="left"/>
    </w:pPr>
    <w:rPr>
      <w:rFonts w:ascii="宋体" w:hAnsi="宋体" w:cs="宋体"/>
      <w:kern w:val="0"/>
      <w:sz w:val="24"/>
      <w:szCs w:val="24"/>
    </w:rPr>
  </w:style>
  <w:style w:type="character" w:styleId="31">
    <w:name w:val="Placeholder Text"/>
    <w:basedOn w:val="15"/>
    <w:semiHidden/>
    <w:qFormat/>
    <w:uiPriority w:val="99"/>
    <w:rPr>
      <w:color w:val="808080"/>
    </w:rPr>
  </w:style>
  <w:style w:type="character" w:customStyle="1" w:styleId="32">
    <w:name w:val="标题 3 Char1"/>
    <w:qFormat/>
    <w:uiPriority w:val="0"/>
    <w:rPr>
      <w:rFonts w:ascii="Times New Roman" w:hAnsi="Times New Roman" w:eastAsia="宋体" w:cs="Times New Roman"/>
      <w:kern w:val="0"/>
      <w:sz w:val="24"/>
      <w:szCs w:val="32"/>
    </w:rPr>
  </w:style>
  <w:style w:type="character" w:customStyle="1" w:styleId="33">
    <w:name w:val="批注文字 Char"/>
    <w:basedOn w:val="15"/>
    <w:link w:val="6"/>
    <w:semiHidden/>
    <w:qFormat/>
    <w:uiPriority w:val="99"/>
    <w:rPr>
      <w:kern w:val="2"/>
      <w:sz w:val="21"/>
      <w:szCs w:val="22"/>
    </w:rPr>
  </w:style>
  <w:style w:type="character" w:customStyle="1" w:styleId="34">
    <w:name w:val="批注主题 Char"/>
    <w:basedOn w:val="33"/>
    <w:link w:val="5"/>
    <w:semiHidden/>
    <w:qFormat/>
    <w:uiPriority w:val="99"/>
    <w:rPr>
      <w:b/>
      <w:bCs/>
      <w:kern w:val="2"/>
      <w:sz w:val="21"/>
      <w:szCs w:val="22"/>
    </w:rPr>
  </w:style>
  <w:style w:type="character" w:customStyle="1" w:styleId="35">
    <w:name w:val="文档结构图 Char"/>
    <w:basedOn w:val="15"/>
    <w:link w:val="8"/>
    <w:semiHidden/>
    <w:qFormat/>
    <w:uiPriority w:val="99"/>
    <w:rPr>
      <w:rFonts w:ascii="宋体" w:hAnsi="Calibri" w:eastAsia="宋体" w:cs="Times New Roman"/>
      <w:kern w:val="2"/>
      <w:sz w:val="18"/>
      <w:szCs w:val="18"/>
    </w:rPr>
  </w:style>
  <w:style w:type="character" w:customStyle="1" w:styleId="36">
    <w:name w:val="题注 Char1"/>
    <w:link w:val="7"/>
    <w:qFormat/>
    <w:uiPriority w:val="0"/>
    <w:rPr>
      <w:rFonts w:ascii="Arial" w:hAnsi="Arial" w:eastAsia="黑体" w:cs="Times New Roman"/>
      <w:kern w:val="0"/>
      <w:sz w:val="20"/>
      <w:szCs w:val="20"/>
    </w:rPr>
  </w:style>
  <w:style w:type="table" w:customStyle="1" w:styleId="37">
    <w:name w:val="网格型1"/>
    <w:basedOn w:val="18"/>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8">
    <w:name w:val="网格型2"/>
    <w:basedOn w:val="18"/>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9">
    <w:name w:val="网格型3"/>
    <w:basedOn w:val="18"/>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0">
    <w:name w:val="网格型4"/>
    <w:basedOn w:val="18"/>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1">
    <w:name w:val="网格型5"/>
    <w:basedOn w:val="18"/>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
    <w:name w:val="网格型6"/>
    <w:basedOn w:val="18"/>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3">
    <w:name w:val="网格型11"/>
    <w:basedOn w:val="18"/>
    <w:unhideWhenUsed/>
    <w:qFormat/>
    <w:uiPriority w:val="99"/>
    <w:rPr>
      <w:rFonts w:eastAsia="Times New Roman"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4">
    <w:name w:val="网格型21"/>
    <w:basedOn w:val="18"/>
    <w:unhideWhenUsed/>
    <w:qFormat/>
    <w:uiPriority w:val="99"/>
    <w:rPr>
      <w:rFonts w:eastAsia="Times New Roman"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35.bin"/><Relationship Id="rId97" Type="http://schemas.openxmlformats.org/officeDocument/2006/relationships/image" Target="media/image48.wmf"/><Relationship Id="rId96" Type="http://schemas.openxmlformats.org/officeDocument/2006/relationships/oleObject" Target="embeddings/oleObject34.bin"/><Relationship Id="rId95" Type="http://schemas.openxmlformats.org/officeDocument/2006/relationships/image" Target="media/image47.wmf"/><Relationship Id="rId94" Type="http://schemas.openxmlformats.org/officeDocument/2006/relationships/oleObject" Target="embeddings/oleObject33.bin"/><Relationship Id="rId93" Type="http://schemas.openxmlformats.org/officeDocument/2006/relationships/image" Target="media/image46.wmf"/><Relationship Id="rId92" Type="http://schemas.openxmlformats.org/officeDocument/2006/relationships/oleObject" Target="embeddings/oleObject32.bin"/><Relationship Id="rId91" Type="http://schemas.openxmlformats.org/officeDocument/2006/relationships/image" Target="media/image45.wmf"/><Relationship Id="rId90" Type="http://schemas.openxmlformats.org/officeDocument/2006/relationships/oleObject" Target="embeddings/oleObject31.bin"/><Relationship Id="rId9" Type="http://schemas.openxmlformats.org/officeDocument/2006/relationships/footer" Target="footer3.xml"/><Relationship Id="rId89" Type="http://schemas.openxmlformats.org/officeDocument/2006/relationships/image" Target="media/image44.wmf"/><Relationship Id="rId88" Type="http://schemas.openxmlformats.org/officeDocument/2006/relationships/oleObject" Target="embeddings/oleObject30.bin"/><Relationship Id="rId87" Type="http://schemas.openxmlformats.org/officeDocument/2006/relationships/image" Target="media/image43.wmf"/><Relationship Id="rId86" Type="http://schemas.openxmlformats.org/officeDocument/2006/relationships/oleObject" Target="embeddings/oleObject29.bin"/><Relationship Id="rId85" Type="http://schemas.openxmlformats.org/officeDocument/2006/relationships/image" Target="media/image42.wmf"/><Relationship Id="rId84" Type="http://schemas.openxmlformats.org/officeDocument/2006/relationships/oleObject" Target="embeddings/oleObject28.bin"/><Relationship Id="rId83" Type="http://schemas.openxmlformats.org/officeDocument/2006/relationships/image" Target="media/image41.wmf"/><Relationship Id="rId82" Type="http://schemas.openxmlformats.org/officeDocument/2006/relationships/oleObject" Target="embeddings/oleObject27.bin"/><Relationship Id="rId81" Type="http://schemas.openxmlformats.org/officeDocument/2006/relationships/image" Target="media/image40.wmf"/><Relationship Id="rId80" Type="http://schemas.openxmlformats.org/officeDocument/2006/relationships/oleObject" Target="embeddings/oleObject26.bin"/><Relationship Id="rId8" Type="http://schemas.openxmlformats.org/officeDocument/2006/relationships/header" Target="header4.xml"/><Relationship Id="rId79" Type="http://schemas.openxmlformats.org/officeDocument/2006/relationships/image" Target="media/image39.wmf"/><Relationship Id="rId78" Type="http://schemas.openxmlformats.org/officeDocument/2006/relationships/oleObject" Target="embeddings/oleObject25.bin"/><Relationship Id="rId77" Type="http://schemas.openxmlformats.org/officeDocument/2006/relationships/image" Target="media/image38.wmf"/><Relationship Id="rId76" Type="http://schemas.openxmlformats.org/officeDocument/2006/relationships/oleObject" Target="embeddings/oleObject24.bin"/><Relationship Id="rId75" Type="http://schemas.openxmlformats.org/officeDocument/2006/relationships/image" Target="media/image37.wmf"/><Relationship Id="rId74" Type="http://schemas.openxmlformats.org/officeDocument/2006/relationships/oleObject" Target="embeddings/oleObject23.bin"/><Relationship Id="rId73" Type="http://schemas.openxmlformats.org/officeDocument/2006/relationships/image" Target="media/image36.wmf"/><Relationship Id="rId72" Type="http://schemas.openxmlformats.org/officeDocument/2006/relationships/oleObject" Target="embeddings/oleObject22.bin"/><Relationship Id="rId71" Type="http://schemas.openxmlformats.org/officeDocument/2006/relationships/image" Target="media/image35.wmf"/><Relationship Id="rId70" Type="http://schemas.openxmlformats.org/officeDocument/2006/relationships/oleObject" Target="embeddings/oleObject21.bin"/><Relationship Id="rId7" Type="http://schemas.openxmlformats.org/officeDocument/2006/relationships/header" Target="header3.xml"/><Relationship Id="rId69" Type="http://schemas.openxmlformats.org/officeDocument/2006/relationships/image" Target="media/image34.wmf"/><Relationship Id="rId68" Type="http://schemas.openxmlformats.org/officeDocument/2006/relationships/oleObject" Target="embeddings/oleObject20.bin"/><Relationship Id="rId67" Type="http://schemas.openxmlformats.org/officeDocument/2006/relationships/image" Target="media/image33.wmf"/><Relationship Id="rId66" Type="http://schemas.openxmlformats.org/officeDocument/2006/relationships/oleObject" Target="embeddings/oleObject19.bin"/><Relationship Id="rId65" Type="http://schemas.openxmlformats.org/officeDocument/2006/relationships/image" Target="media/image32.wmf"/><Relationship Id="rId64" Type="http://schemas.openxmlformats.org/officeDocument/2006/relationships/oleObject" Target="embeddings/oleObject18.bin"/><Relationship Id="rId63" Type="http://schemas.openxmlformats.org/officeDocument/2006/relationships/image" Target="media/image31.wmf"/><Relationship Id="rId62" Type="http://schemas.openxmlformats.org/officeDocument/2006/relationships/oleObject" Target="embeddings/oleObject17.bin"/><Relationship Id="rId61" Type="http://schemas.openxmlformats.org/officeDocument/2006/relationships/image" Target="media/image30.wmf"/><Relationship Id="rId60" Type="http://schemas.openxmlformats.org/officeDocument/2006/relationships/oleObject" Target="embeddings/oleObject16.bin"/><Relationship Id="rId6" Type="http://schemas.openxmlformats.org/officeDocument/2006/relationships/footer" Target="footer2.xml"/><Relationship Id="rId59" Type="http://schemas.openxmlformats.org/officeDocument/2006/relationships/image" Target="media/image29.wmf"/><Relationship Id="rId58" Type="http://schemas.openxmlformats.org/officeDocument/2006/relationships/oleObject" Target="embeddings/oleObject15.bin"/><Relationship Id="rId57" Type="http://schemas.openxmlformats.org/officeDocument/2006/relationships/image" Target="media/image28.wmf"/><Relationship Id="rId56" Type="http://schemas.openxmlformats.org/officeDocument/2006/relationships/oleObject" Target="embeddings/oleObject14.bin"/><Relationship Id="rId55" Type="http://schemas.openxmlformats.org/officeDocument/2006/relationships/image" Target="media/image27.wmf"/><Relationship Id="rId54" Type="http://schemas.openxmlformats.org/officeDocument/2006/relationships/oleObject" Target="embeddings/oleObject13.bin"/><Relationship Id="rId53" Type="http://schemas.openxmlformats.org/officeDocument/2006/relationships/image" Target="media/image26.wmf"/><Relationship Id="rId52" Type="http://schemas.openxmlformats.org/officeDocument/2006/relationships/oleObject" Target="embeddings/oleObject12.bin"/><Relationship Id="rId51" Type="http://schemas.openxmlformats.org/officeDocument/2006/relationships/image" Target="media/image25.wmf"/><Relationship Id="rId50" Type="http://schemas.openxmlformats.org/officeDocument/2006/relationships/oleObject" Target="embeddings/oleObject11.bin"/><Relationship Id="rId5" Type="http://schemas.openxmlformats.org/officeDocument/2006/relationships/footer" Target="footer1.xml"/><Relationship Id="rId49" Type="http://schemas.openxmlformats.org/officeDocument/2006/relationships/image" Target="media/image24.wmf"/><Relationship Id="rId48" Type="http://schemas.openxmlformats.org/officeDocument/2006/relationships/oleObject" Target="embeddings/oleObject10.bin"/><Relationship Id="rId47" Type="http://schemas.openxmlformats.org/officeDocument/2006/relationships/image" Target="media/image23.wmf"/><Relationship Id="rId46" Type="http://schemas.openxmlformats.org/officeDocument/2006/relationships/oleObject" Target="embeddings/oleObject9.bin"/><Relationship Id="rId45" Type="http://schemas.openxmlformats.org/officeDocument/2006/relationships/image" Target="media/image22.wmf"/><Relationship Id="rId44" Type="http://schemas.openxmlformats.org/officeDocument/2006/relationships/oleObject" Target="embeddings/oleObject8.bin"/><Relationship Id="rId43" Type="http://schemas.openxmlformats.org/officeDocument/2006/relationships/image" Target="media/image21.wmf"/><Relationship Id="rId42" Type="http://schemas.openxmlformats.org/officeDocument/2006/relationships/oleObject" Target="embeddings/oleObject7.bin"/><Relationship Id="rId41" Type="http://schemas.openxmlformats.org/officeDocument/2006/relationships/image" Target="media/image20.wmf"/><Relationship Id="rId40" Type="http://schemas.openxmlformats.org/officeDocument/2006/relationships/oleObject" Target="embeddings/oleObject6.bin"/><Relationship Id="rId4" Type="http://schemas.openxmlformats.org/officeDocument/2006/relationships/header" Target="header2.xml"/><Relationship Id="rId39" Type="http://schemas.openxmlformats.org/officeDocument/2006/relationships/image" Target="media/image19.wmf"/><Relationship Id="rId38" Type="http://schemas.openxmlformats.org/officeDocument/2006/relationships/oleObject" Target="embeddings/oleObject5.bin"/><Relationship Id="rId37" Type="http://schemas.openxmlformats.org/officeDocument/2006/relationships/image" Target="media/image18.wmf"/><Relationship Id="rId36" Type="http://schemas.openxmlformats.org/officeDocument/2006/relationships/oleObject" Target="embeddings/oleObject4.bin"/><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9" Type="http://schemas.openxmlformats.org/officeDocument/2006/relationships/fontTable" Target="fontTable.xml"/><Relationship Id="rId328" Type="http://schemas.openxmlformats.org/officeDocument/2006/relationships/customXml" Target="../customXml/item2.xml"/><Relationship Id="rId327" Type="http://schemas.openxmlformats.org/officeDocument/2006/relationships/numbering" Target="numbering.xml"/><Relationship Id="rId326" Type="http://schemas.openxmlformats.org/officeDocument/2006/relationships/customXml" Target="../customXml/item1.xml"/><Relationship Id="rId325" Type="http://schemas.openxmlformats.org/officeDocument/2006/relationships/oleObject" Target="embeddings/oleObject150.bin"/><Relationship Id="rId324" Type="http://schemas.openxmlformats.org/officeDocument/2006/relationships/image" Target="media/image156.wmf"/><Relationship Id="rId323" Type="http://schemas.openxmlformats.org/officeDocument/2006/relationships/oleObject" Target="embeddings/oleObject149.bin"/><Relationship Id="rId322" Type="http://schemas.openxmlformats.org/officeDocument/2006/relationships/oleObject" Target="embeddings/oleObject148.bin"/><Relationship Id="rId321" Type="http://schemas.openxmlformats.org/officeDocument/2006/relationships/image" Target="media/image155.wmf"/><Relationship Id="rId320" Type="http://schemas.openxmlformats.org/officeDocument/2006/relationships/oleObject" Target="embeddings/oleObject147.bin"/><Relationship Id="rId32" Type="http://schemas.openxmlformats.org/officeDocument/2006/relationships/image" Target="media/image14.png"/><Relationship Id="rId319" Type="http://schemas.openxmlformats.org/officeDocument/2006/relationships/oleObject" Target="embeddings/oleObject146.bin"/><Relationship Id="rId318" Type="http://schemas.openxmlformats.org/officeDocument/2006/relationships/image" Target="media/image154.wmf"/><Relationship Id="rId317" Type="http://schemas.openxmlformats.org/officeDocument/2006/relationships/oleObject" Target="embeddings/oleObject145.bin"/><Relationship Id="rId316" Type="http://schemas.openxmlformats.org/officeDocument/2006/relationships/oleObject" Target="embeddings/oleObject144.bin"/><Relationship Id="rId315" Type="http://schemas.openxmlformats.org/officeDocument/2006/relationships/oleObject" Target="embeddings/oleObject143.bin"/><Relationship Id="rId314" Type="http://schemas.openxmlformats.org/officeDocument/2006/relationships/image" Target="media/image153.wmf"/><Relationship Id="rId313" Type="http://schemas.openxmlformats.org/officeDocument/2006/relationships/oleObject" Target="embeddings/oleObject142.bin"/><Relationship Id="rId312" Type="http://schemas.openxmlformats.org/officeDocument/2006/relationships/image" Target="media/image152.wmf"/><Relationship Id="rId311" Type="http://schemas.openxmlformats.org/officeDocument/2006/relationships/oleObject" Target="embeddings/oleObject141.bin"/><Relationship Id="rId310" Type="http://schemas.openxmlformats.org/officeDocument/2006/relationships/image" Target="media/image151.wmf"/><Relationship Id="rId31" Type="http://schemas.openxmlformats.org/officeDocument/2006/relationships/image" Target="media/image13.png"/><Relationship Id="rId309" Type="http://schemas.openxmlformats.org/officeDocument/2006/relationships/oleObject" Target="embeddings/oleObject140.bin"/><Relationship Id="rId308" Type="http://schemas.openxmlformats.org/officeDocument/2006/relationships/image" Target="media/image150.wmf"/><Relationship Id="rId307" Type="http://schemas.openxmlformats.org/officeDocument/2006/relationships/oleObject" Target="embeddings/oleObject139.bin"/><Relationship Id="rId306" Type="http://schemas.openxmlformats.org/officeDocument/2006/relationships/image" Target="media/image149.wmf"/><Relationship Id="rId305" Type="http://schemas.openxmlformats.org/officeDocument/2006/relationships/oleObject" Target="embeddings/oleObject138.bin"/><Relationship Id="rId304" Type="http://schemas.openxmlformats.org/officeDocument/2006/relationships/image" Target="media/image148.wmf"/><Relationship Id="rId303" Type="http://schemas.openxmlformats.org/officeDocument/2006/relationships/oleObject" Target="embeddings/oleObject137.bin"/><Relationship Id="rId302" Type="http://schemas.openxmlformats.org/officeDocument/2006/relationships/image" Target="media/image147.wmf"/><Relationship Id="rId301" Type="http://schemas.openxmlformats.org/officeDocument/2006/relationships/oleObject" Target="embeddings/oleObject136.bin"/><Relationship Id="rId300" Type="http://schemas.openxmlformats.org/officeDocument/2006/relationships/image" Target="media/image146.wmf"/><Relationship Id="rId30" Type="http://schemas.openxmlformats.org/officeDocument/2006/relationships/image" Target="media/image12.png"/><Relationship Id="rId3" Type="http://schemas.openxmlformats.org/officeDocument/2006/relationships/header" Target="header1.xml"/><Relationship Id="rId299" Type="http://schemas.openxmlformats.org/officeDocument/2006/relationships/oleObject" Target="embeddings/oleObject135.bin"/><Relationship Id="rId298" Type="http://schemas.openxmlformats.org/officeDocument/2006/relationships/image" Target="media/image145.wmf"/><Relationship Id="rId297" Type="http://schemas.openxmlformats.org/officeDocument/2006/relationships/oleObject" Target="embeddings/oleObject134.bin"/><Relationship Id="rId296" Type="http://schemas.openxmlformats.org/officeDocument/2006/relationships/image" Target="media/image144.wmf"/><Relationship Id="rId295" Type="http://schemas.openxmlformats.org/officeDocument/2006/relationships/oleObject" Target="embeddings/oleObject133.bin"/><Relationship Id="rId294" Type="http://schemas.openxmlformats.org/officeDocument/2006/relationships/image" Target="media/image143.wmf"/><Relationship Id="rId293" Type="http://schemas.openxmlformats.org/officeDocument/2006/relationships/oleObject" Target="embeddings/oleObject132.bin"/><Relationship Id="rId292" Type="http://schemas.openxmlformats.org/officeDocument/2006/relationships/image" Target="media/image142.wmf"/><Relationship Id="rId291" Type="http://schemas.openxmlformats.org/officeDocument/2006/relationships/oleObject" Target="embeddings/oleObject131.bin"/><Relationship Id="rId290" Type="http://schemas.openxmlformats.org/officeDocument/2006/relationships/image" Target="media/image141.wmf"/><Relationship Id="rId29" Type="http://schemas.openxmlformats.org/officeDocument/2006/relationships/image" Target="media/image11.png"/><Relationship Id="rId289" Type="http://schemas.openxmlformats.org/officeDocument/2006/relationships/oleObject" Target="embeddings/oleObject130.bin"/><Relationship Id="rId288" Type="http://schemas.openxmlformats.org/officeDocument/2006/relationships/image" Target="media/image140.wmf"/><Relationship Id="rId287" Type="http://schemas.openxmlformats.org/officeDocument/2006/relationships/oleObject" Target="embeddings/oleObject129.bin"/><Relationship Id="rId286" Type="http://schemas.openxmlformats.org/officeDocument/2006/relationships/image" Target="media/image139.wmf"/><Relationship Id="rId285" Type="http://schemas.openxmlformats.org/officeDocument/2006/relationships/oleObject" Target="embeddings/oleObject128.bin"/><Relationship Id="rId284" Type="http://schemas.openxmlformats.org/officeDocument/2006/relationships/image" Target="media/image138.wmf"/><Relationship Id="rId283" Type="http://schemas.openxmlformats.org/officeDocument/2006/relationships/oleObject" Target="embeddings/oleObject127.bin"/><Relationship Id="rId282" Type="http://schemas.openxmlformats.org/officeDocument/2006/relationships/image" Target="media/image137.wmf"/><Relationship Id="rId281" Type="http://schemas.openxmlformats.org/officeDocument/2006/relationships/oleObject" Target="embeddings/oleObject126.bin"/><Relationship Id="rId280" Type="http://schemas.openxmlformats.org/officeDocument/2006/relationships/image" Target="media/image136.wmf"/><Relationship Id="rId28" Type="http://schemas.openxmlformats.org/officeDocument/2006/relationships/image" Target="media/image10.png"/><Relationship Id="rId279" Type="http://schemas.openxmlformats.org/officeDocument/2006/relationships/oleObject" Target="embeddings/oleObject125.bin"/><Relationship Id="rId278" Type="http://schemas.openxmlformats.org/officeDocument/2006/relationships/image" Target="media/image135.wmf"/><Relationship Id="rId277" Type="http://schemas.openxmlformats.org/officeDocument/2006/relationships/oleObject" Target="embeddings/oleObject124.bin"/><Relationship Id="rId276" Type="http://schemas.openxmlformats.org/officeDocument/2006/relationships/image" Target="media/image134.wmf"/><Relationship Id="rId275" Type="http://schemas.openxmlformats.org/officeDocument/2006/relationships/oleObject" Target="embeddings/oleObject123.bin"/><Relationship Id="rId274" Type="http://schemas.openxmlformats.org/officeDocument/2006/relationships/image" Target="media/image133.wmf"/><Relationship Id="rId273" Type="http://schemas.openxmlformats.org/officeDocument/2006/relationships/oleObject" Target="embeddings/oleObject122.bin"/><Relationship Id="rId272" Type="http://schemas.openxmlformats.org/officeDocument/2006/relationships/image" Target="media/image132.wmf"/><Relationship Id="rId271" Type="http://schemas.openxmlformats.org/officeDocument/2006/relationships/oleObject" Target="embeddings/oleObject121.bin"/><Relationship Id="rId270" Type="http://schemas.openxmlformats.org/officeDocument/2006/relationships/image" Target="media/image131.wmf"/><Relationship Id="rId27" Type="http://schemas.openxmlformats.org/officeDocument/2006/relationships/image" Target="media/image9.png"/><Relationship Id="rId269" Type="http://schemas.openxmlformats.org/officeDocument/2006/relationships/oleObject" Target="embeddings/oleObject120.bin"/><Relationship Id="rId268" Type="http://schemas.openxmlformats.org/officeDocument/2006/relationships/image" Target="media/image130.wmf"/><Relationship Id="rId267" Type="http://schemas.openxmlformats.org/officeDocument/2006/relationships/oleObject" Target="embeddings/oleObject119.bin"/><Relationship Id="rId266" Type="http://schemas.openxmlformats.org/officeDocument/2006/relationships/diagramColors" Target="diagrams/colors1.xml"/><Relationship Id="rId265" Type="http://schemas.openxmlformats.org/officeDocument/2006/relationships/diagramQuickStyle" Target="diagrams/quickStyle1.xml"/><Relationship Id="rId264" Type="http://schemas.openxmlformats.org/officeDocument/2006/relationships/diagramLayout" Target="diagrams/layout1.xml"/><Relationship Id="rId263" Type="http://schemas.openxmlformats.org/officeDocument/2006/relationships/diagramData" Target="diagrams/data1.xml"/><Relationship Id="rId262" Type="http://schemas.openxmlformats.org/officeDocument/2006/relationships/image" Target="media/image129.wmf"/><Relationship Id="rId261" Type="http://schemas.openxmlformats.org/officeDocument/2006/relationships/oleObject" Target="embeddings/oleObject118.bin"/><Relationship Id="rId260" Type="http://schemas.openxmlformats.org/officeDocument/2006/relationships/image" Target="media/image128.wmf"/><Relationship Id="rId26" Type="http://schemas.openxmlformats.org/officeDocument/2006/relationships/image" Target="media/image8.png"/><Relationship Id="rId259" Type="http://schemas.openxmlformats.org/officeDocument/2006/relationships/oleObject" Target="embeddings/oleObject117.bin"/><Relationship Id="rId258" Type="http://schemas.openxmlformats.org/officeDocument/2006/relationships/image" Target="media/image127.wmf"/><Relationship Id="rId257" Type="http://schemas.openxmlformats.org/officeDocument/2006/relationships/oleObject" Target="embeddings/oleObject116.bin"/><Relationship Id="rId256" Type="http://schemas.openxmlformats.org/officeDocument/2006/relationships/image" Target="media/image126.wmf"/><Relationship Id="rId255" Type="http://schemas.openxmlformats.org/officeDocument/2006/relationships/oleObject" Target="embeddings/oleObject115.bin"/><Relationship Id="rId254" Type="http://schemas.openxmlformats.org/officeDocument/2006/relationships/image" Target="media/image125.wmf"/><Relationship Id="rId253" Type="http://schemas.openxmlformats.org/officeDocument/2006/relationships/oleObject" Target="embeddings/oleObject114.bin"/><Relationship Id="rId252" Type="http://schemas.openxmlformats.org/officeDocument/2006/relationships/image" Target="media/image124.wmf"/><Relationship Id="rId251" Type="http://schemas.openxmlformats.org/officeDocument/2006/relationships/oleObject" Target="embeddings/oleObject113.bin"/><Relationship Id="rId250" Type="http://schemas.openxmlformats.org/officeDocument/2006/relationships/image" Target="media/image123.wmf"/><Relationship Id="rId25" Type="http://schemas.openxmlformats.org/officeDocument/2006/relationships/image" Target="media/image7.png"/><Relationship Id="rId249" Type="http://schemas.openxmlformats.org/officeDocument/2006/relationships/oleObject" Target="embeddings/oleObject112.bin"/><Relationship Id="rId248" Type="http://schemas.openxmlformats.org/officeDocument/2006/relationships/image" Target="media/image122.wmf"/><Relationship Id="rId247" Type="http://schemas.openxmlformats.org/officeDocument/2006/relationships/oleObject" Target="embeddings/oleObject111.bin"/><Relationship Id="rId246" Type="http://schemas.openxmlformats.org/officeDocument/2006/relationships/image" Target="media/image121.wmf"/><Relationship Id="rId245" Type="http://schemas.openxmlformats.org/officeDocument/2006/relationships/oleObject" Target="embeddings/oleObject110.bin"/><Relationship Id="rId244" Type="http://schemas.openxmlformats.org/officeDocument/2006/relationships/image" Target="media/image120.wmf"/><Relationship Id="rId243" Type="http://schemas.openxmlformats.org/officeDocument/2006/relationships/oleObject" Target="embeddings/oleObject109.bin"/><Relationship Id="rId242" Type="http://schemas.openxmlformats.org/officeDocument/2006/relationships/image" Target="media/image119.png"/><Relationship Id="rId241" Type="http://schemas.openxmlformats.org/officeDocument/2006/relationships/image" Target="media/image118.wmf"/><Relationship Id="rId240" Type="http://schemas.openxmlformats.org/officeDocument/2006/relationships/oleObject" Target="embeddings/oleObject108.bin"/><Relationship Id="rId24" Type="http://schemas.openxmlformats.org/officeDocument/2006/relationships/image" Target="media/image6.emf"/><Relationship Id="rId239" Type="http://schemas.openxmlformats.org/officeDocument/2006/relationships/image" Target="media/image117.wmf"/><Relationship Id="rId238" Type="http://schemas.openxmlformats.org/officeDocument/2006/relationships/oleObject" Target="embeddings/oleObject107.bin"/><Relationship Id="rId237" Type="http://schemas.openxmlformats.org/officeDocument/2006/relationships/image" Target="media/image116.wmf"/><Relationship Id="rId236" Type="http://schemas.openxmlformats.org/officeDocument/2006/relationships/oleObject" Target="embeddings/oleObject106.bin"/><Relationship Id="rId235" Type="http://schemas.openxmlformats.org/officeDocument/2006/relationships/image" Target="media/image115.wmf"/><Relationship Id="rId234" Type="http://schemas.openxmlformats.org/officeDocument/2006/relationships/oleObject" Target="embeddings/oleObject105.bin"/><Relationship Id="rId233" Type="http://schemas.openxmlformats.org/officeDocument/2006/relationships/image" Target="media/image114.wmf"/><Relationship Id="rId232" Type="http://schemas.openxmlformats.org/officeDocument/2006/relationships/oleObject" Target="embeddings/oleObject104.bin"/><Relationship Id="rId231" Type="http://schemas.openxmlformats.org/officeDocument/2006/relationships/image" Target="media/image113.wmf"/><Relationship Id="rId230" Type="http://schemas.openxmlformats.org/officeDocument/2006/relationships/oleObject" Target="embeddings/oleObject103.bin"/><Relationship Id="rId23" Type="http://schemas.openxmlformats.org/officeDocument/2006/relationships/oleObject" Target="embeddings/oleObject3.bin"/><Relationship Id="rId229" Type="http://schemas.openxmlformats.org/officeDocument/2006/relationships/image" Target="media/image112.wmf"/><Relationship Id="rId228" Type="http://schemas.openxmlformats.org/officeDocument/2006/relationships/oleObject" Target="embeddings/oleObject102.bin"/><Relationship Id="rId227" Type="http://schemas.openxmlformats.org/officeDocument/2006/relationships/image" Target="media/image111.wmf"/><Relationship Id="rId226" Type="http://schemas.openxmlformats.org/officeDocument/2006/relationships/oleObject" Target="embeddings/oleObject101.bin"/><Relationship Id="rId225" Type="http://schemas.openxmlformats.org/officeDocument/2006/relationships/image" Target="media/image110.wmf"/><Relationship Id="rId224" Type="http://schemas.openxmlformats.org/officeDocument/2006/relationships/oleObject" Target="embeddings/oleObject100.bin"/><Relationship Id="rId223" Type="http://schemas.openxmlformats.org/officeDocument/2006/relationships/image" Target="media/image109.wmf"/><Relationship Id="rId222" Type="http://schemas.openxmlformats.org/officeDocument/2006/relationships/oleObject" Target="embeddings/oleObject99.bin"/><Relationship Id="rId221" Type="http://schemas.openxmlformats.org/officeDocument/2006/relationships/image" Target="media/image108.wmf"/><Relationship Id="rId220" Type="http://schemas.openxmlformats.org/officeDocument/2006/relationships/oleObject" Target="embeddings/oleObject98.bin"/><Relationship Id="rId22" Type="http://schemas.openxmlformats.org/officeDocument/2006/relationships/image" Target="media/image5.emf"/><Relationship Id="rId219" Type="http://schemas.openxmlformats.org/officeDocument/2006/relationships/image" Target="media/image107.wmf"/><Relationship Id="rId218" Type="http://schemas.openxmlformats.org/officeDocument/2006/relationships/oleObject" Target="embeddings/oleObject97.bin"/><Relationship Id="rId217" Type="http://schemas.openxmlformats.org/officeDocument/2006/relationships/image" Target="media/image106.wmf"/><Relationship Id="rId216" Type="http://schemas.openxmlformats.org/officeDocument/2006/relationships/oleObject" Target="embeddings/oleObject96.bin"/><Relationship Id="rId215" Type="http://schemas.openxmlformats.org/officeDocument/2006/relationships/image" Target="media/image105.wmf"/><Relationship Id="rId214" Type="http://schemas.openxmlformats.org/officeDocument/2006/relationships/oleObject" Target="embeddings/oleObject95.bin"/><Relationship Id="rId213" Type="http://schemas.openxmlformats.org/officeDocument/2006/relationships/image" Target="media/image104.wmf"/><Relationship Id="rId212" Type="http://schemas.openxmlformats.org/officeDocument/2006/relationships/oleObject" Target="embeddings/oleObject94.bin"/><Relationship Id="rId211" Type="http://schemas.openxmlformats.org/officeDocument/2006/relationships/image" Target="media/image103.wmf"/><Relationship Id="rId210" Type="http://schemas.openxmlformats.org/officeDocument/2006/relationships/oleObject" Target="embeddings/oleObject93.bin"/><Relationship Id="rId21" Type="http://schemas.openxmlformats.org/officeDocument/2006/relationships/oleObject" Target="embeddings/oleObject2.bin"/><Relationship Id="rId209" Type="http://schemas.openxmlformats.org/officeDocument/2006/relationships/image" Target="media/image102.wmf"/><Relationship Id="rId208" Type="http://schemas.openxmlformats.org/officeDocument/2006/relationships/oleObject" Target="embeddings/oleObject92.bin"/><Relationship Id="rId207" Type="http://schemas.openxmlformats.org/officeDocument/2006/relationships/image" Target="media/image101.wmf"/><Relationship Id="rId206" Type="http://schemas.openxmlformats.org/officeDocument/2006/relationships/oleObject" Target="embeddings/oleObject91.bin"/><Relationship Id="rId205" Type="http://schemas.openxmlformats.org/officeDocument/2006/relationships/image" Target="media/image100.wmf"/><Relationship Id="rId204" Type="http://schemas.openxmlformats.org/officeDocument/2006/relationships/oleObject" Target="embeddings/oleObject90.bin"/><Relationship Id="rId203" Type="http://schemas.openxmlformats.org/officeDocument/2006/relationships/image" Target="media/image99.wmf"/><Relationship Id="rId202" Type="http://schemas.openxmlformats.org/officeDocument/2006/relationships/oleObject" Target="embeddings/oleObject89.bin"/><Relationship Id="rId201" Type="http://schemas.openxmlformats.org/officeDocument/2006/relationships/image" Target="media/image98.wmf"/><Relationship Id="rId200" Type="http://schemas.openxmlformats.org/officeDocument/2006/relationships/oleObject" Target="embeddings/oleObject88.bin"/><Relationship Id="rId20" Type="http://schemas.openxmlformats.org/officeDocument/2006/relationships/image" Target="media/image4.wmf"/><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87.bin"/><Relationship Id="rId197" Type="http://schemas.openxmlformats.org/officeDocument/2006/relationships/image" Target="media/image96.wmf"/><Relationship Id="rId196" Type="http://schemas.openxmlformats.org/officeDocument/2006/relationships/oleObject" Target="embeddings/oleObject86.bin"/><Relationship Id="rId195" Type="http://schemas.openxmlformats.org/officeDocument/2006/relationships/image" Target="media/image95.wmf"/><Relationship Id="rId194" Type="http://schemas.openxmlformats.org/officeDocument/2006/relationships/oleObject" Target="embeddings/oleObject85.bin"/><Relationship Id="rId193" Type="http://schemas.openxmlformats.org/officeDocument/2006/relationships/image" Target="media/image94.wmf"/><Relationship Id="rId192" Type="http://schemas.openxmlformats.org/officeDocument/2006/relationships/oleObject" Target="embeddings/oleObject84.bin"/><Relationship Id="rId191" Type="http://schemas.openxmlformats.org/officeDocument/2006/relationships/image" Target="media/image93.wmf"/><Relationship Id="rId190" Type="http://schemas.openxmlformats.org/officeDocument/2006/relationships/oleObject" Target="embeddings/oleObject83.bin"/><Relationship Id="rId19" Type="http://schemas.openxmlformats.org/officeDocument/2006/relationships/oleObject" Target="embeddings/oleObject1.bin"/><Relationship Id="rId189" Type="http://schemas.openxmlformats.org/officeDocument/2006/relationships/image" Target="media/image92.wmf"/><Relationship Id="rId188" Type="http://schemas.openxmlformats.org/officeDocument/2006/relationships/oleObject" Target="embeddings/oleObject82.bin"/><Relationship Id="rId187" Type="http://schemas.openxmlformats.org/officeDocument/2006/relationships/image" Target="media/image91.wmf"/><Relationship Id="rId186" Type="http://schemas.openxmlformats.org/officeDocument/2006/relationships/oleObject" Target="embeddings/oleObject81.bin"/><Relationship Id="rId185" Type="http://schemas.openxmlformats.org/officeDocument/2006/relationships/image" Target="media/image90.wmf"/><Relationship Id="rId184" Type="http://schemas.openxmlformats.org/officeDocument/2006/relationships/oleObject" Target="embeddings/oleObject80.bin"/><Relationship Id="rId183" Type="http://schemas.openxmlformats.org/officeDocument/2006/relationships/image" Target="media/image89.wmf"/><Relationship Id="rId182" Type="http://schemas.openxmlformats.org/officeDocument/2006/relationships/oleObject" Target="embeddings/oleObject79.bin"/><Relationship Id="rId181" Type="http://schemas.openxmlformats.org/officeDocument/2006/relationships/image" Target="media/image88.wmf"/><Relationship Id="rId180" Type="http://schemas.openxmlformats.org/officeDocument/2006/relationships/oleObject" Target="embeddings/oleObject78.bin"/><Relationship Id="rId18" Type="http://schemas.openxmlformats.org/officeDocument/2006/relationships/image" Target="media/image3.png"/><Relationship Id="rId179" Type="http://schemas.openxmlformats.org/officeDocument/2006/relationships/image" Target="media/image87.wmf"/><Relationship Id="rId178" Type="http://schemas.openxmlformats.org/officeDocument/2006/relationships/oleObject" Target="embeddings/oleObject77.bin"/><Relationship Id="rId177" Type="http://schemas.openxmlformats.org/officeDocument/2006/relationships/image" Target="media/image86.wmf"/><Relationship Id="rId176" Type="http://schemas.openxmlformats.org/officeDocument/2006/relationships/oleObject" Target="embeddings/oleObject76.bin"/><Relationship Id="rId175" Type="http://schemas.openxmlformats.org/officeDocument/2006/relationships/image" Target="media/image85.wmf"/><Relationship Id="rId174" Type="http://schemas.openxmlformats.org/officeDocument/2006/relationships/oleObject" Target="embeddings/oleObject75.bin"/><Relationship Id="rId173" Type="http://schemas.openxmlformats.org/officeDocument/2006/relationships/image" Target="media/image84.wmf"/><Relationship Id="rId172" Type="http://schemas.openxmlformats.org/officeDocument/2006/relationships/oleObject" Target="embeddings/oleObject74.bin"/><Relationship Id="rId171" Type="http://schemas.openxmlformats.org/officeDocument/2006/relationships/image" Target="media/image83.wmf"/><Relationship Id="rId170" Type="http://schemas.openxmlformats.org/officeDocument/2006/relationships/oleObject" Target="embeddings/oleObject73.bin"/><Relationship Id="rId17" Type="http://schemas.openxmlformats.org/officeDocument/2006/relationships/image" Target="media/image2.png"/><Relationship Id="rId169" Type="http://schemas.openxmlformats.org/officeDocument/2006/relationships/image" Target="media/image82.wmf"/><Relationship Id="rId168" Type="http://schemas.openxmlformats.org/officeDocument/2006/relationships/oleObject" Target="embeddings/oleObject72.bin"/><Relationship Id="rId167" Type="http://schemas.openxmlformats.org/officeDocument/2006/relationships/image" Target="media/image81.wmf"/><Relationship Id="rId166" Type="http://schemas.openxmlformats.org/officeDocument/2006/relationships/oleObject" Target="embeddings/oleObject71.bin"/><Relationship Id="rId165" Type="http://schemas.openxmlformats.org/officeDocument/2006/relationships/oleObject" Target="embeddings/oleObject70.bin"/><Relationship Id="rId164" Type="http://schemas.openxmlformats.org/officeDocument/2006/relationships/oleObject" Target="embeddings/oleObject69.bin"/><Relationship Id="rId163" Type="http://schemas.openxmlformats.org/officeDocument/2006/relationships/image" Target="media/image80.wmf"/><Relationship Id="rId162" Type="http://schemas.openxmlformats.org/officeDocument/2006/relationships/oleObject" Target="embeddings/oleObject68.bin"/><Relationship Id="rId161" Type="http://schemas.openxmlformats.org/officeDocument/2006/relationships/image" Target="media/image79.wmf"/><Relationship Id="rId160" Type="http://schemas.openxmlformats.org/officeDocument/2006/relationships/oleObject" Target="embeddings/oleObject67.bin"/><Relationship Id="rId16" Type="http://schemas.openxmlformats.org/officeDocument/2006/relationships/chart" Target="charts/chart5.xml"/><Relationship Id="rId159" Type="http://schemas.openxmlformats.org/officeDocument/2006/relationships/image" Target="media/image78.wmf"/><Relationship Id="rId158" Type="http://schemas.openxmlformats.org/officeDocument/2006/relationships/oleObject" Target="embeddings/oleObject66.bin"/><Relationship Id="rId157" Type="http://schemas.openxmlformats.org/officeDocument/2006/relationships/image" Target="media/image77.wmf"/><Relationship Id="rId156" Type="http://schemas.openxmlformats.org/officeDocument/2006/relationships/oleObject" Target="embeddings/oleObject65.bin"/><Relationship Id="rId155" Type="http://schemas.openxmlformats.org/officeDocument/2006/relationships/image" Target="media/image76.wmf"/><Relationship Id="rId154" Type="http://schemas.openxmlformats.org/officeDocument/2006/relationships/oleObject" Target="embeddings/oleObject64.bin"/><Relationship Id="rId153" Type="http://schemas.openxmlformats.org/officeDocument/2006/relationships/image" Target="media/image75.wmf"/><Relationship Id="rId152" Type="http://schemas.openxmlformats.org/officeDocument/2006/relationships/oleObject" Target="embeddings/oleObject63.bin"/><Relationship Id="rId151" Type="http://schemas.openxmlformats.org/officeDocument/2006/relationships/image" Target="media/image74.wmf"/><Relationship Id="rId150" Type="http://schemas.openxmlformats.org/officeDocument/2006/relationships/oleObject" Target="embeddings/oleObject62.bin"/><Relationship Id="rId15" Type="http://schemas.openxmlformats.org/officeDocument/2006/relationships/chart" Target="charts/chart4.xml"/><Relationship Id="rId149" Type="http://schemas.openxmlformats.org/officeDocument/2006/relationships/image" Target="media/image73.wmf"/><Relationship Id="rId148" Type="http://schemas.openxmlformats.org/officeDocument/2006/relationships/oleObject" Target="embeddings/oleObject61.bin"/><Relationship Id="rId147" Type="http://schemas.openxmlformats.org/officeDocument/2006/relationships/image" Target="media/image72.wmf"/><Relationship Id="rId146" Type="http://schemas.openxmlformats.org/officeDocument/2006/relationships/oleObject" Target="embeddings/oleObject60.bin"/><Relationship Id="rId145" Type="http://schemas.openxmlformats.org/officeDocument/2006/relationships/image" Target="media/image71.wmf"/><Relationship Id="rId144" Type="http://schemas.openxmlformats.org/officeDocument/2006/relationships/oleObject" Target="embeddings/oleObject59.bin"/><Relationship Id="rId143" Type="http://schemas.openxmlformats.org/officeDocument/2006/relationships/image" Target="media/image70.wmf"/><Relationship Id="rId142" Type="http://schemas.openxmlformats.org/officeDocument/2006/relationships/oleObject" Target="embeddings/oleObject58.bin"/><Relationship Id="rId141" Type="http://schemas.openxmlformats.org/officeDocument/2006/relationships/image" Target="media/image69.wmf"/><Relationship Id="rId140" Type="http://schemas.openxmlformats.org/officeDocument/2006/relationships/oleObject" Target="embeddings/oleObject57.bin"/><Relationship Id="rId14" Type="http://schemas.openxmlformats.org/officeDocument/2006/relationships/chart" Target="charts/chart3.xml"/><Relationship Id="rId139" Type="http://schemas.openxmlformats.org/officeDocument/2006/relationships/image" Target="media/image68.wmf"/><Relationship Id="rId138" Type="http://schemas.openxmlformats.org/officeDocument/2006/relationships/oleObject" Target="embeddings/oleObject56.bin"/><Relationship Id="rId137" Type="http://schemas.openxmlformats.org/officeDocument/2006/relationships/image" Target="media/image67.wmf"/><Relationship Id="rId136" Type="http://schemas.openxmlformats.org/officeDocument/2006/relationships/oleObject" Target="embeddings/oleObject55.bin"/><Relationship Id="rId135" Type="http://schemas.openxmlformats.org/officeDocument/2006/relationships/image" Target="media/image66.wmf"/><Relationship Id="rId134" Type="http://schemas.openxmlformats.org/officeDocument/2006/relationships/oleObject" Target="embeddings/oleObject54.bin"/><Relationship Id="rId133" Type="http://schemas.openxmlformats.org/officeDocument/2006/relationships/image" Target="media/image65.wmf"/><Relationship Id="rId132" Type="http://schemas.openxmlformats.org/officeDocument/2006/relationships/oleObject" Target="embeddings/oleObject53.bin"/><Relationship Id="rId131" Type="http://schemas.openxmlformats.org/officeDocument/2006/relationships/image" Target="media/image64.wmf"/><Relationship Id="rId130" Type="http://schemas.openxmlformats.org/officeDocument/2006/relationships/oleObject" Target="embeddings/oleObject52.bin"/><Relationship Id="rId13" Type="http://schemas.openxmlformats.org/officeDocument/2006/relationships/chart" Target="charts/chart2.xml"/><Relationship Id="rId129" Type="http://schemas.openxmlformats.org/officeDocument/2006/relationships/image" Target="media/image63.wmf"/><Relationship Id="rId128" Type="http://schemas.openxmlformats.org/officeDocument/2006/relationships/oleObject" Target="embeddings/oleObject51.bin"/><Relationship Id="rId127" Type="http://schemas.openxmlformats.org/officeDocument/2006/relationships/oleObject" Target="embeddings/oleObject50.bin"/><Relationship Id="rId126" Type="http://schemas.openxmlformats.org/officeDocument/2006/relationships/image" Target="media/image62.wmf"/><Relationship Id="rId125" Type="http://schemas.openxmlformats.org/officeDocument/2006/relationships/oleObject" Target="embeddings/oleObject49.bin"/><Relationship Id="rId124" Type="http://schemas.openxmlformats.org/officeDocument/2006/relationships/image" Target="media/image61.wmf"/><Relationship Id="rId123" Type="http://schemas.openxmlformats.org/officeDocument/2006/relationships/oleObject" Target="embeddings/oleObject48.bin"/><Relationship Id="rId122" Type="http://schemas.openxmlformats.org/officeDocument/2006/relationships/image" Target="media/image60.wmf"/><Relationship Id="rId121" Type="http://schemas.openxmlformats.org/officeDocument/2006/relationships/oleObject" Target="embeddings/oleObject47.bin"/><Relationship Id="rId120" Type="http://schemas.openxmlformats.org/officeDocument/2006/relationships/image" Target="media/image59.wmf"/><Relationship Id="rId12" Type="http://schemas.openxmlformats.org/officeDocument/2006/relationships/chart" Target="charts/chart1.xml"/><Relationship Id="rId119" Type="http://schemas.openxmlformats.org/officeDocument/2006/relationships/oleObject" Target="embeddings/oleObject46.bin"/><Relationship Id="rId118" Type="http://schemas.openxmlformats.org/officeDocument/2006/relationships/image" Target="media/image58.wmf"/><Relationship Id="rId117" Type="http://schemas.openxmlformats.org/officeDocument/2006/relationships/oleObject" Target="embeddings/oleObject45.bin"/><Relationship Id="rId116" Type="http://schemas.openxmlformats.org/officeDocument/2006/relationships/image" Target="media/image57.wmf"/><Relationship Id="rId115" Type="http://schemas.openxmlformats.org/officeDocument/2006/relationships/oleObject" Target="embeddings/oleObject44.bin"/><Relationship Id="rId114" Type="http://schemas.openxmlformats.org/officeDocument/2006/relationships/image" Target="media/image56.wmf"/><Relationship Id="rId113" Type="http://schemas.openxmlformats.org/officeDocument/2006/relationships/oleObject" Target="embeddings/oleObject43.bin"/><Relationship Id="rId112" Type="http://schemas.openxmlformats.org/officeDocument/2006/relationships/image" Target="media/image55.wmf"/><Relationship Id="rId111" Type="http://schemas.openxmlformats.org/officeDocument/2006/relationships/oleObject" Target="embeddings/oleObject42.bin"/><Relationship Id="rId110" Type="http://schemas.openxmlformats.org/officeDocument/2006/relationships/image" Target="media/image54.wmf"/><Relationship Id="rId11" Type="http://schemas.openxmlformats.org/officeDocument/2006/relationships/image" Target="media/image1.png"/><Relationship Id="rId109" Type="http://schemas.openxmlformats.org/officeDocument/2006/relationships/oleObject" Target="embeddings/oleObject41.bin"/><Relationship Id="rId108" Type="http://schemas.openxmlformats.org/officeDocument/2006/relationships/image" Target="media/image53.wmf"/><Relationship Id="rId107" Type="http://schemas.openxmlformats.org/officeDocument/2006/relationships/oleObject" Target="embeddings/oleObject40.bin"/><Relationship Id="rId106" Type="http://schemas.openxmlformats.org/officeDocument/2006/relationships/image" Target="media/image52.wmf"/><Relationship Id="rId105" Type="http://schemas.openxmlformats.org/officeDocument/2006/relationships/oleObject" Target="embeddings/oleObject39.bin"/><Relationship Id="rId104" Type="http://schemas.openxmlformats.org/officeDocument/2006/relationships/image" Target="media/image51.wmf"/><Relationship Id="rId103" Type="http://schemas.openxmlformats.org/officeDocument/2006/relationships/oleObject" Target="embeddings/oleObject38.bin"/><Relationship Id="rId102" Type="http://schemas.openxmlformats.org/officeDocument/2006/relationships/oleObject" Target="embeddings/oleObject37.bin"/><Relationship Id="rId101" Type="http://schemas.openxmlformats.org/officeDocument/2006/relationships/image" Target="media/image50.wmf"/><Relationship Id="rId100" Type="http://schemas.openxmlformats.org/officeDocument/2006/relationships/oleObject" Target="embeddings/oleObject36.bin"/><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4800;&#23433;&#21439;&#20892;&#26449;&#29289;&#27969;&#33410;&#28857;&#35268;&#21010;\&#25968;&#25454;&#25910;&#38598;\&#24800;&#23433;&#37038;&#25919;EMS&#36895;&#36882;&#20844;&#21496;&#35843;&#26597;&#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常住人口（万人）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2011年</c:v>
                </c:pt>
                <c:pt idx="1">
                  <c:v>2012年</c:v>
                </c:pt>
                <c:pt idx="2">
                  <c:v>2013年</c:v>
                </c:pt>
                <c:pt idx="3">
                  <c:v>2014年</c:v>
                </c:pt>
                <c:pt idx="4">
                  <c:v>2015年</c:v>
                </c:pt>
                <c:pt idx="5">
                  <c:v>2016年</c:v>
                </c:pt>
                <c:pt idx="6">
                  <c:v>2017年</c:v>
                </c:pt>
              </c:strCache>
            </c:strRef>
          </c:cat>
          <c:val>
            <c:numRef>
              <c:f>Sheet1!$B$2:$B$8</c:f>
              <c:numCache>
                <c:formatCode>General</c:formatCode>
                <c:ptCount val="7"/>
                <c:pt idx="0">
                  <c:v>23.1</c:v>
                </c:pt>
                <c:pt idx="1">
                  <c:v>23.3</c:v>
                </c:pt>
                <c:pt idx="2">
                  <c:v>23.6</c:v>
                </c:pt>
                <c:pt idx="3">
                  <c:v>24.3</c:v>
                </c:pt>
                <c:pt idx="4">
                  <c:v>24.9</c:v>
                </c:pt>
                <c:pt idx="5">
                  <c:v>25.2</c:v>
                </c:pt>
                <c:pt idx="6">
                  <c:v>25.6</c:v>
                </c:pt>
              </c:numCache>
            </c:numRef>
          </c:val>
        </c:ser>
        <c:dLbls>
          <c:showLegendKey val="0"/>
          <c:showVal val="1"/>
          <c:showCatName val="0"/>
          <c:showSerName val="0"/>
          <c:showPercent val="0"/>
          <c:showBubbleSize val="0"/>
        </c:dLbls>
        <c:gapWidth val="150"/>
        <c:axId val="236832256"/>
        <c:axId val="236839296"/>
      </c:barChart>
      <c:catAx>
        <c:axId val="2368322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6839296"/>
        <c:crosses val="autoZero"/>
        <c:auto val="1"/>
        <c:lblAlgn val="ctr"/>
        <c:lblOffset val="100"/>
        <c:noMultiLvlLbl val="0"/>
      </c:catAx>
      <c:valAx>
        <c:axId val="23683929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683225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Sheet1!$C$1</c:f>
              <c:strCache>
                <c:ptCount val="1"/>
                <c:pt idx="0">
                  <c:v>GDP（亿元）</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2011年</c:v>
                </c:pt>
                <c:pt idx="1">
                  <c:v>2012年</c:v>
                </c:pt>
                <c:pt idx="2">
                  <c:v>2013年</c:v>
                </c:pt>
                <c:pt idx="3">
                  <c:v>2014年</c:v>
                </c:pt>
                <c:pt idx="4">
                  <c:v>2015年</c:v>
                </c:pt>
                <c:pt idx="5">
                  <c:v>2016年</c:v>
                </c:pt>
                <c:pt idx="6">
                  <c:v>2017年</c:v>
                </c:pt>
              </c:strCache>
            </c:strRef>
          </c:cat>
          <c:val>
            <c:numRef>
              <c:f>Sheet1!$C$2:$C$8</c:f>
              <c:numCache>
                <c:formatCode>General</c:formatCode>
                <c:ptCount val="7"/>
                <c:pt idx="0">
                  <c:v>142.6572</c:v>
                </c:pt>
                <c:pt idx="1">
                  <c:v>157.3066</c:v>
                </c:pt>
                <c:pt idx="2">
                  <c:v>178.9095</c:v>
                </c:pt>
                <c:pt idx="3">
                  <c:v>196.7027</c:v>
                </c:pt>
                <c:pt idx="4">
                  <c:v>212.9127</c:v>
                </c:pt>
                <c:pt idx="5">
                  <c:v>230.9062</c:v>
                </c:pt>
                <c:pt idx="6">
                  <c:v>260.54</c:v>
                </c:pt>
              </c:numCache>
            </c:numRef>
          </c:val>
          <c:smooth val="0"/>
        </c:ser>
        <c:dLbls>
          <c:showLegendKey val="0"/>
          <c:showVal val="1"/>
          <c:showCatName val="0"/>
          <c:showSerName val="0"/>
          <c:showPercent val="0"/>
          <c:showBubbleSize val="0"/>
        </c:dLbls>
        <c:marker val="1"/>
        <c:smooth val="0"/>
        <c:axId val="236920192"/>
        <c:axId val="236927232"/>
      </c:lineChart>
      <c:catAx>
        <c:axId val="23692019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6927232"/>
        <c:crosses val="autoZero"/>
        <c:auto val="1"/>
        <c:lblAlgn val="ctr"/>
        <c:lblOffset val="100"/>
        <c:noMultiLvlLbl val="0"/>
      </c:catAx>
      <c:valAx>
        <c:axId val="2369272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6920192"/>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c:f>
              <c:strCache>
                <c:ptCount val="1"/>
                <c:pt idx="0">
                  <c:v>社会消费品零售额（亿元）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2011年</c:v>
                </c:pt>
                <c:pt idx="1">
                  <c:v>2012年</c:v>
                </c:pt>
                <c:pt idx="2">
                  <c:v>2013年</c:v>
                </c:pt>
                <c:pt idx="3">
                  <c:v>2014年</c:v>
                </c:pt>
                <c:pt idx="4">
                  <c:v>2015年</c:v>
                </c:pt>
                <c:pt idx="5">
                  <c:v>2016年</c:v>
                </c:pt>
                <c:pt idx="6">
                  <c:v>2017年</c:v>
                </c:pt>
              </c:strCache>
            </c:strRef>
          </c:cat>
          <c:val>
            <c:numRef>
              <c:f>Sheet1!$D$2:$D$8</c:f>
              <c:numCache>
                <c:formatCode>General</c:formatCode>
                <c:ptCount val="7"/>
                <c:pt idx="0">
                  <c:v>31.8349000000001</c:v>
                </c:pt>
                <c:pt idx="1">
                  <c:v>37.215</c:v>
                </c:pt>
                <c:pt idx="2">
                  <c:v>42.3134</c:v>
                </c:pt>
                <c:pt idx="3">
                  <c:v>45.3177</c:v>
                </c:pt>
                <c:pt idx="4">
                  <c:v>58.52864</c:v>
                </c:pt>
                <c:pt idx="5">
                  <c:v>66.9772600000004</c:v>
                </c:pt>
                <c:pt idx="6">
                  <c:v>75.4679000000003</c:v>
                </c:pt>
              </c:numCache>
            </c:numRef>
          </c:val>
        </c:ser>
        <c:dLbls>
          <c:showLegendKey val="0"/>
          <c:showVal val="1"/>
          <c:showCatName val="0"/>
          <c:showSerName val="0"/>
          <c:showPercent val="0"/>
          <c:showBubbleSize val="0"/>
        </c:dLbls>
        <c:gapWidth val="150"/>
        <c:axId val="243795456"/>
        <c:axId val="243827072"/>
      </c:barChart>
      <c:catAx>
        <c:axId val="2437954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3827072"/>
        <c:crosses val="autoZero"/>
        <c:auto val="1"/>
        <c:lblAlgn val="ctr"/>
        <c:lblOffset val="100"/>
        <c:noMultiLvlLbl val="0"/>
      </c:catAx>
      <c:valAx>
        <c:axId val="243827072"/>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3795456"/>
        <c:crosses val="autoZero"/>
        <c:crossBetween val="between"/>
      </c:valAx>
      <c:spPr>
        <a:solidFill>
          <a:schemeClr val="bg1"/>
        </a:solid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Sheet1!$E$1</c:f>
              <c:strCache>
                <c:ptCount val="1"/>
                <c:pt idx="0">
                  <c:v>快递业务量(万件)</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2011年</c:v>
                </c:pt>
                <c:pt idx="1">
                  <c:v>2012年</c:v>
                </c:pt>
                <c:pt idx="2">
                  <c:v>2013年</c:v>
                </c:pt>
                <c:pt idx="3">
                  <c:v>2014年</c:v>
                </c:pt>
                <c:pt idx="4">
                  <c:v>2015年</c:v>
                </c:pt>
                <c:pt idx="5">
                  <c:v>2016年</c:v>
                </c:pt>
                <c:pt idx="6">
                  <c:v>2017年</c:v>
                </c:pt>
              </c:strCache>
            </c:strRef>
          </c:cat>
          <c:val>
            <c:numRef>
              <c:f>Sheet1!$E$2:$E$8</c:f>
              <c:numCache>
                <c:formatCode>0.00_ </c:formatCode>
                <c:ptCount val="7"/>
                <c:pt idx="0">
                  <c:v>199.711933851768</c:v>
                </c:pt>
                <c:pt idx="1">
                  <c:v>295.754449274507</c:v>
                </c:pt>
                <c:pt idx="2">
                  <c:v>440.382775119617</c:v>
                </c:pt>
                <c:pt idx="3">
                  <c:v>745.699052132702</c:v>
                </c:pt>
                <c:pt idx="4">
                  <c:v>1100.16451233842</c:v>
                </c:pt>
                <c:pt idx="5">
                  <c:v>1627.13286713287</c:v>
                </c:pt>
                <c:pt idx="6">
                  <c:v>2201.89595375724</c:v>
                </c:pt>
              </c:numCache>
            </c:numRef>
          </c:val>
        </c:ser>
        <c:dLbls>
          <c:showLegendKey val="0"/>
          <c:showVal val="1"/>
          <c:showCatName val="0"/>
          <c:showSerName val="0"/>
          <c:showPercent val="0"/>
          <c:showBubbleSize val="0"/>
        </c:dLbls>
        <c:gapWidth val="150"/>
        <c:axId val="243838336"/>
        <c:axId val="243841280"/>
      </c:barChart>
      <c:catAx>
        <c:axId val="2438383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3841280"/>
        <c:crosses val="autoZero"/>
        <c:auto val="1"/>
        <c:lblAlgn val="ctr"/>
        <c:lblOffset val="100"/>
        <c:noMultiLvlLbl val="0"/>
      </c:catAx>
      <c:valAx>
        <c:axId val="243841280"/>
        <c:scaling>
          <c:orientation val="minMax"/>
        </c:scaling>
        <c:delete val="0"/>
        <c:axPos val="l"/>
        <c:majorGridlines/>
        <c:numFmt formatCode="0.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3838336"/>
        <c:crosses val="autoZero"/>
        <c:crossBetween val="between"/>
      </c:valAx>
      <c:spPr>
        <a:solidFill>
          <a:schemeClr val="bg1"/>
        </a:solid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[惠安邮政EMS速递公司调查表.xlsx]Sheet1!$A$2</c:f>
              <c:strCache>
                <c:ptCount val="1"/>
                <c:pt idx="0">
                  <c:v>收货量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[惠安邮政EMS速递公司调查表.xlsx]Sheet1!$N$1:$Q$1</c:f>
              <c:strCache>
                <c:ptCount val="4"/>
                <c:pt idx="0">
                  <c:v>百崎回族乡</c:v>
                </c:pt>
                <c:pt idx="1">
                  <c:v>洛阳镇</c:v>
                </c:pt>
                <c:pt idx="2">
                  <c:v>东园镇</c:v>
                </c:pt>
                <c:pt idx="3">
                  <c:v>张坂镇</c:v>
                </c:pt>
              </c:strCache>
            </c:strRef>
          </c:cat>
          <c:val>
            <c:numRef>
              <c:f>[惠安邮政EMS速递公司调查表.xlsx]Sheet1!$N$2:$Q$2</c:f>
              <c:numCache>
                <c:formatCode>0_ </c:formatCode>
                <c:ptCount val="4"/>
                <c:pt idx="0">
                  <c:v>33156.8</c:v>
                </c:pt>
                <c:pt idx="1">
                  <c:v>94973.6</c:v>
                </c:pt>
                <c:pt idx="2">
                  <c:v>134681</c:v>
                </c:pt>
                <c:pt idx="3">
                  <c:v>79768</c:v>
                </c:pt>
              </c:numCache>
            </c:numRef>
          </c:val>
        </c:ser>
        <c:ser>
          <c:idx val="1"/>
          <c:order val="1"/>
          <c:tx>
            <c:strRef>
              <c:f>[惠安邮政EMS速递公司调查表.xlsx]Sheet1!$A$3</c:f>
              <c:strCache>
                <c:ptCount val="1"/>
                <c:pt idx="0">
                  <c:v>发货量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[惠安邮政EMS速递公司调查表.xlsx]Sheet1!$N$1:$Q$1</c:f>
              <c:strCache>
                <c:ptCount val="4"/>
                <c:pt idx="0">
                  <c:v>百崎回族乡</c:v>
                </c:pt>
                <c:pt idx="1">
                  <c:v>洛阳镇</c:v>
                </c:pt>
                <c:pt idx="2">
                  <c:v>东园镇</c:v>
                </c:pt>
                <c:pt idx="3">
                  <c:v>张坂镇</c:v>
                </c:pt>
              </c:strCache>
            </c:strRef>
          </c:cat>
          <c:val>
            <c:numRef>
              <c:f>[惠安邮政EMS速递公司调查表.xlsx]Sheet1!$N$3:$Q$3</c:f>
              <c:numCache>
                <c:formatCode>0_ </c:formatCode>
                <c:ptCount val="4"/>
                <c:pt idx="0">
                  <c:v>528.284000000004</c:v>
                </c:pt>
                <c:pt idx="1">
                  <c:v>62452.422</c:v>
                </c:pt>
                <c:pt idx="2">
                  <c:v>982673.928</c:v>
                </c:pt>
                <c:pt idx="3">
                  <c:v>1542.576</c:v>
                </c:pt>
              </c:numCache>
            </c:numRef>
          </c:val>
        </c:ser>
        <c:dLbls>
          <c:showLegendKey val="0"/>
          <c:showVal val="1"/>
          <c:showCatName val="0"/>
          <c:showSerName val="0"/>
          <c:showPercent val="0"/>
          <c:showBubbleSize val="0"/>
        </c:dLbls>
        <c:gapWidth val="150"/>
        <c:axId val="252387712"/>
        <c:axId val="252389248"/>
      </c:barChart>
      <c:catAx>
        <c:axId val="252387712"/>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2389248"/>
        <c:crosses val="autoZero"/>
        <c:auto val="1"/>
        <c:lblAlgn val="ctr"/>
        <c:lblOffset val="100"/>
        <c:noMultiLvlLbl val="0"/>
      </c:catAx>
      <c:valAx>
        <c:axId val="252389248"/>
        <c:scaling>
          <c:orientation val="minMax"/>
        </c:scaling>
        <c:delete val="0"/>
        <c:axPos val="b"/>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2387712"/>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1#3">
  <dgm:title val=""/>
  <dgm:desc val=""/>
  <dgm:catLst>
    <dgm:cat type="accent2" pri="11100"/>
  </dgm:catLst>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98AD379-552D-4091-872B-10CFEE6834B9}" type="doc">
      <dgm:prSet loTypeId="urn:microsoft.com/office/officeart/2008/layout/HorizontalMultiLevelHierarchy#3" loCatId="hierarchy" qsTypeId="urn:microsoft.com/office/officeart/2005/8/quickstyle/simple1#11" qsCatId="simple" csTypeId="urn:microsoft.com/office/officeart/2005/8/colors/accent2_1#3" csCatId="accent2" phldr="1"/>
      <dgm:spPr/>
      <dgm:t>
        <a:bodyPr/>
        <a:p>
          <a:endParaRPr lang="zh-CN" altLang="en-US"/>
        </a:p>
      </dgm:t>
    </dgm:pt>
    <dgm:pt modelId="{FB9C3349-ACC4-4EBE-A35E-B712F87B9E07}">
      <dgm:prSet phldrT="[文本]"/>
      <dgm:spPr>
        <a:ln>
          <a:solidFill>
            <a:schemeClr val="tx1"/>
          </a:solidFill>
        </a:ln>
      </dgm:spPr>
      <dgm:t>
        <a:bodyPr/>
        <a:p>
          <a:r>
            <a:rPr lang="zh-CN" altLang="en-US"/>
            <a:t>网点结构</a:t>
          </a:r>
          <a:r>
            <a:rPr lang="en-US" altLang="zh-CN"/>
            <a:t>B</a:t>
          </a:r>
          <a:r>
            <a:rPr lang="en-US" altLang="zh-CN" baseline="-25000"/>
            <a:t>1</a:t>
          </a:r>
          <a:endParaRPr lang="zh-CN" altLang="en-US" baseline="-25000"/>
        </a:p>
      </dgm:t>
    </dgm:pt>
    <dgm:pt modelId="{A727C616-791D-4713-89C3-78FB784EBC33}" cxnId="{395A6B1E-45AB-4721-AFDB-A7EF3AEA8074}" type="parTrans">
      <dgm:prSet/>
      <dgm:spPr>
        <a:ln>
          <a:solidFill>
            <a:schemeClr val="tx1"/>
          </a:solidFill>
        </a:ln>
      </dgm:spPr>
      <dgm:t>
        <a:bodyPr/>
        <a:p>
          <a:endParaRPr lang="zh-CN" altLang="en-US"/>
        </a:p>
      </dgm:t>
    </dgm:pt>
    <dgm:pt modelId="{EEB446DD-B550-492D-BC8B-D07EDB040C6F}" cxnId="{395A6B1E-45AB-4721-AFDB-A7EF3AEA8074}" type="sibTrans">
      <dgm:prSet/>
      <dgm:spPr/>
      <dgm:t>
        <a:bodyPr/>
        <a:p>
          <a:endParaRPr lang="zh-CN" altLang="en-US"/>
        </a:p>
      </dgm:t>
    </dgm:pt>
    <dgm:pt modelId="{1EA8593A-ACF6-4DC2-B8E2-1564984DB181}">
      <dgm:prSet phldrT="[文本]"/>
      <dgm:spPr>
        <a:ln>
          <a:solidFill>
            <a:schemeClr val="tx1"/>
          </a:solidFill>
        </a:ln>
      </dgm:spPr>
      <dgm:t>
        <a:bodyPr/>
        <a:p>
          <a:r>
            <a:rPr lang="zh-CN" altLang="en-US"/>
            <a:t>网点数量</a:t>
          </a:r>
          <a:r>
            <a:rPr lang="en-US" altLang="zh-CN"/>
            <a:t>C</a:t>
          </a:r>
          <a:r>
            <a:rPr lang="en-US" altLang="zh-CN" baseline="-25000"/>
            <a:t>1</a:t>
          </a:r>
          <a:endParaRPr lang="zh-CN" altLang="en-US" baseline="-25000"/>
        </a:p>
      </dgm:t>
    </dgm:pt>
    <dgm:pt modelId="{559DE539-439F-4012-A8C4-790B77C72285}" cxnId="{7956B39E-6C95-4AF4-8A52-347FBC95A904}" type="parTrans">
      <dgm:prSet/>
      <dgm:spPr>
        <a:ln>
          <a:solidFill>
            <a:schemeClr val="tx1"/>
          </a:solidFill>
        </a:ln>
      </dgm:spPr>
      <dgm:t>
        <a:bodyPr/>
        <a:p>
          <a:endParaRPr lang="zh-CN" altLang="en-US">
            <a:solidFill>
              <a:schemeClr val="tx1"/>
            </a:solidFill>
          </a:endParaRPr>
        </a:p>
      </dgm:t>
    </dgm:pt>
    <dgm:pt modelId="{9D71399F-45BB-42C8-AA52-82A278B942C9}" cxnId="{7956B39E-6C95-4AF4-8A52-347FBC95A904}" type="sibTrans">
      <dgm:prSet/>
      <dgm:spPr/>
      <dgm:t>
        <a:bodyPr/>
        <a:p>
          <a:endParaRPr lang="zh-CN" altLang="en-US"/>
        </a:p>
      </dgm:t>
    </dgm:pt>
    <dgm:pt modelId="{2950A62F-F9BE-46C9-A9B8-FC315980D89A}">
      <dgm:prSet phldrT="[文本]"/>
      <dgm:spPr>
        <a:ln>
          <a:solidFill>
            <a:schemeClr val="tx1"/>
          </a:solidFill>
        </a:ln>
      </dgm:spPr>
      <dgm:t>
        <a:bodyPr/>
        <a:p>
          <a:r>
            <a:rPr lang="zh-CN" altLang="en-US"/>
            <a:t>配送线路数量</a:t>
          </a:r>
          <a:r>
            <a:rPr lang="en-US" altLang="zh-CN"/>
            <a:t>C</a:t>
          </a:r>
          <a:r>
            <a:rPr lang="en-US" altLang="zh-CN" baseline="-26000"/>
            <a:t>2</a:t>
          </a:r>
          <a:endParaRPr lang="zh-CN" altLang="en-US" baseline="-26000"/>
        </a:p>
      </dgm:t>
    </dgm:pt>
    <dgm:pt modelId="{B8A25564-4CB5-4DE0-B125-60CB44B85BB7}" cxnId="{A8C917C0-7346-45A3-ADA1-3872DCFA696E}" type="parTrans">
      <dgm:prSet/>
      <dgm:spPr>
        <a:ln>
          <a:solidFill>
            <a:schemeClr val="tx1"/>
          </a:solidFill>
        </a:ln>
      </dgm:spPr>
      <dgm:t>
        <a:bodyPr/>
        <a:p>
          <a:endParaRPr lang="zh-CN" altLang="en-US"/>
        </a:p>
      </dgm:t>
    </dgm:pt>
    <dgm:pt modelId="{DFAB127C-4FC0-40DA-B06B-3843C01DC911}" cxnId="{A8C917C0-7346-45A3-ADA1-3872DCFA696E}" type="sibTrans">
      <dgm:prSet/>
      <dgm:spPr/>
      <dgm:t>
        <a:bodyPr/>
        <a:p>
          <a:endParaRPr lang="zh-CN" altLang="en-US"/>
        </a:p>
      </dgm:t>
    </dgm:pt>
    <dgm:pt modelId="{1A00BC4D-66EC-42DD-A991-72ABB59756EA}">
      <dgm:prSet phldrT="[文本]"/>
      <dgm:spPr>
        <a:ln>
          <a:solidFill>
            <a:schemeClr val="tx1"/>
          </a:solidFill>
        </a:ln>
      </dgm:spPr>
      <dgm:t>
        <a:bodyPr/>
        <a:p>
          <a:r>
            <a:rPr lang="zh-CN" altLang="en-US"/>
            <a:t>设施水平</a:t>
          </a:r>
          <a:r>
            <a:rPr lang="en-US" altLang="zh-CN"/>
            <a:t>B2</a:t>
          </a:r>
          <a:endParaRPr lang="zh-CN" altLang="en-US"/>
        </a:p>
      </dgm:t>
    </dgm:pt>
    <dgm:pt modelId="{F0521F29-616B-4CB6-B4EE-1092BB85C512}" cxnId="{4994B4AF-C5A5-4997-8D27-A65BCA8FBD6C}" type="parTrans">
      <dgm:prSet/>
      <dgm:spPr>
        <a:ln>
          <a:solidFill>
            <a:schemeClr val="tx1"/>
          </a:solidFill>
        </a:ln>
      </dgm:spPr>
      <dgm:t>
        <a:bodyPr/>
        <a:p>
          <a:endParaRPr lang="zh-CN" altLang="en-US"/>
        </a:p>
      </dgm:t>
    </dgm:pt>
    <dgm:pt modelId="{A779F294-1ECC-4743-A4F1-5BCED8F6EA13}" cxnId="{4994B4AF-C5A5-4997-8D27-A65BCA8FBD6C}" type="sibTrans">
      <dgm:prSet/>
      <dgm:spPr/>
      <dgm:t>
        <a:bodyPr/>
        <a:p>
          <a:endParaRPr lang="zh-CN" altLang="en-US"/>
        </a:p>
      </dgm:t>
    </dgm:pt>
    <dgm:pt modelId="{324F1724-3987-4853-AE57-99340D6BB19E}">
      <dgm:prSet phldrT="[文本]"/>
      <dgm:spPr>
        <a:ln>
          <a:solidFill>
            <a:schemeClr val="tx1"/>
          </a:solidFill>
        </a:ln>
      </dgm:spPr>
      <dgm:t>
        <a:bodyPr/>
        <a:p>
          <a:r>
            <a:rPr lang="zh-CN" altLang="en-US"/>
            <a:t>网点面积</a:t>
          </a:r>
          <a:r>
            <a:rPr lang="en-US" altLang="zh-CN"/>
            <a:t>C</a:t>
          </a:r>
          <a:r>
            <a:rPr lang="en-US" altLang="zh-CN" baseline="-25000"/>
            <a:t>4</a:t>
          </a:r>
          <a:endParaRPr lang="zh-CN" altLang="en-US" baseline="-25000"/>
        </a:p>
      </dgm:t>
    </dgm:pt>
    <dgm:pt modelId="{1ECAAFBB-FF29-4F0C-A72D-005F5D6510F1}" cxnId="{653225F7-1024-4093-8CE3-18113C8D5816}" type="parTrans">
      <dgm:prSet/>
      <dgm:spPr>
        <a:ln>
          <a:solidFill>
            <a:schemeClr val="tx1"/>
          </a:solidFill>
        </a:ln>
      </dgm:spPr>
      <dgm:t>
        <a:bodyPr/>
        <a:p>
          <a:endParaRPr lang="zh-CN" altLang="en-US"/>
        </a:p>
      </dgm:t>
    </dgm:pt>
    <dgm:pt modelId="{407839D9-50E1-48EC-B55C-CB02186BBFBA}" cxnId="{653225F7-1024-4093-8CE3-18113C8D5816}" type="sibTrans">
      <dgm:prSet/>
      <dgm:spPr/>
      <dgm:t>
        <a:bodyPr/>
        <a:p>
          <a:endParaRPr lang="zh-CN" altLang="en-US"/>
        </a:p>
      </dgm:t>
    </dgm:pt>
    <dgm:pt modelId="{3824FD8F-7BFD-47A9-84CC-F339F40B455E}">
      <dgm:prSet phldrT="[文本]"/>
      <dgm:spPr>
        <a:ln>
          <a:solidFill>
            <a:schemeClr val="tx1"/>
          </a:solidFill>
        </a:ln>
      </dgm:spPr>
      <dgm:t>
        <a:bodyPr/>
        <a:p>
          <a:r>
            <a:rPr lang="zh-CN" altLang="en-US"/>
            <a:t>网点设备保障率</a:t>
          </a:r>
          <a:r>
            <a:rPr lang="en-US" altLang="zh-CN"/>
            <a:t>C8</a:t>
          </a:r>
          <a:endParaRPr lang="zh-CN" altLang="en-US"/>
        </a:p>
      </dgm:t>
    </dgm:pt>
    <dgm:pt modelId="{4491538A-6E5E-4015-8FEF-9FB8C5D5F910}" cxnId="{9769CEE4-1CC5-45B5-97D6-6415D44664B4}" type="parTrans">
      <dgm:prSet/>
      <dgm:spPr>
        <a:ln>
          <a:solidFill>
            <a:schemeClr val="tx1"/>
          </a:solidFill>
        </a:ln>
      </dgm:spPr>
      <dgm:t>
        <a:bodyPr/>
        <a:p>
          <a:endParaRPr lang="zh-CN" altLang="en-US"/>
        </a:p>
      </dgm:t>
    </dgm:pt>
    <dgm:pt modelId="{E85FD2A1-4121-41A4-9D8B-87FD4E7EF66D}" cxnId="{9769CEE4-1CC5-45B5-97D6-6415D44664B4}" type="sibTrans">
      <dgm:prSet/>
      <dgm:spPr/>
      <dgm:t>
        <a:bodyPr/>
        <a:p>
          <a:endParaRPr lang="zh-CN" altLang="en-US"/>
        </a:p>
      </dgm:t>
    </dgm:pt>
    <dgm:pt modelId="{9D5F45A0-3AF5-4E50-BEA8-A0B05B63FF6C}">
      <dgm:prSet phldrT="[文本]"/>
      <dgm:spPr>
        <a:ln>
          <a:solidFill>
            <a:schemeClr val="tx1"/>
          </a:solidFill>
        </a:ln>
      </dgm:spPr>
      <dgm:t>
        <a:bodyPr/>
        <a:p>
          <a:r>
            <a:rPr lang="zh-CN" altLang="en-US"/>
            <a:t>网点覆盖率</a:t>
          </a:r>
          <a:r>
            <a:rPr lang="en-US" altLang="zh-CN"/>
            <a:t>C</a:t>
          </a:r>
          <a:r>
            <a:rPr lang="en-US" altLang="zh-CN" baseline="-25000"/>
            <a:t>5</a:t>
          </a:r>
          <a:endParaRPr lang="zh-CN" altLang="en-US" baseline="-25000"/>
        </a:p>
      </dgm:t>
    </dgm:pt>
    <dgm:pt modelId="{B769577E-894B-4D1C-8797-5AB4BCB44D0A}" cxnId="{86FCFB88-A9FC-42A8-BC39-9A4B6479ABDD}" type="parTrans">
      <dgm:prSet/>
      <dgm:spPr>
        <a:ln>
          <a:solidFill>
            <a:schemeClr val="tx1"/>
          </a:solidFill>
        </a:ln>
      </dgm:spPr>
      <dgm:t>
        <a:bodyPr/>
        <a:p>
          <a:endParaRPr lang="zh-CN" altLang="en-US"/>
        </a:p>
      </dgm:t>
    </dgm:pt>
    <dgm:pt modelId="{8F114800-D5B5-453C-9ABA-F1E445C9D6E3}" cxnId="{86FCFB88-A9FC-42A8-BC39-9A4B6479ABDD}" type="sibTrans">
      <dgm:prSet/>
      <dgm:spPr/>
      <dgm:t>
        <a:bodyPr/>
        <a:p>
          <a:endParaRPr lang="zh-CN" altLang="en-US"/>
        </a:p>
      </dgm:t>
    </dgm:pt>
    <dgm:pt modelId="{0BF6C0F2-72EE-4A6A-BD72-EBCBC393E042}">
      <dgm:prSet phldrT="[文本]"/>
      <dgm:spPr>
        <a:ln>
          <a:solidFill>
            <a:schemeClr val="tx1"/>
          </a:solidFill>
        </a:ln>
      </dgm:spPr>
      <dgm:t>
        <a:bodyPr/>
        <a:p>
          <a:r>
            <a:rPr lang="zh-CN" altLang="en-US"/>
            <a:t>停车场面积</a:t>
          </a:r>
          <a:r>
            <a:rPr lang="en-US" altLang="zh-CN"/>
            <a:t>C6</a:t>
          </a:r>
          <a:endParaRPr lang="zh-CN" altLang="en-US"/>
        </a:p>
      </dgm:t>
    </dgm:pt>
    <dgm:pt modelId="{4E6AD1F9-61DB-4F55-9CCF-E52EAFCC256F}" cxnId="{2E2A2056-8F7E-4489-AAE4-12102E5B47DA}" type="parTrans">
      <dgm:prSet/>
      <dgm:spPr>
        <a:ln>
          <a:solidFill>
            <a:schemeClr val="tx1"/>
          </a:solidFill>
        </a:ln>
      </dgm:spPr>
      <dgm:t>
        <a:bodyPr/>
        <a:p>
          <a:endParaRPr lang="zh-CN" altLang="en-US"/>
        </a:p>
      </dgm:t>
    </dgm:pt>
    <dgm:pt modelId="{FF4A1E25-1766-4107-A481-6DF1FC68D600}" cxnId="{2E2A2056-8F7E-4489-AAE4-12102E5B47DA}" type="sibTrans">
      <dgm:prSet/>
      <dgm:spPr/>
      <dgm:t>
        <a:bodyPr/>
        <a:p>
          <a:endParaRPr lang="zh-CN" altLang="en-US"/>
        </a:p>
      </dgm:t>
    </dgm:pt>
    <dgm:pt modelId="{8EB7BAA3-7459-43FA-B1F7-85752EAF611D}">
      <dgm:prSet phldrT="[文本]"/>
      <dgm:spPr>
        <a:ln>
          <a:solidFill>
            <a:schemeClr val="tx1"/>
          </a:solidFill>
        </a:ln>
      </dgm:spPr>
      <dgm:t>
        <a:bodyPr/>
        <a:p>
          <a:r>
            <a:rPr lang="zh-CN" altLang="en-US"/>
            <a:t>网点密度</a:t>
          </a:r>
          <a:r>
            <a:rPr lang="en-US" altLang="zh-CN"/>
            <a:t>C</a:t>
          </a:r>
          <a:r>
            <a:rPr lang="en-US" altLang="zh-CN" baseline="-25000"/>
            <a:t>3</a:t>
          </a:r>
          <a:endParaRPr lang="zh-CN" altLang="en-US" baseline="-25000"/>
        </a:p>
      </dgm:t>
    </dgm:pt>
    <dgm:pt modelId="{8E5B4E27-7F22-492D-8787-78975199ECB4}" cxnId="{3D656AF3-3106-48CE-9FAA-22BA450290FB}" type="parTrans">
      <dgm:prSet/>
      <dgm:spPr>
        <a:ln>
          <a:solidFill>
            <a:schemeClr val="tx1"/>
          </a:solidFill>
        </a:ln>
      </dgm:spPr>
      <dgm:t>
        <a:bodyPr/>
        <a:p>
          <a:endParaRPr lang="zh-CN" altLang="en-US"/>
        </a:p>
      </dgm:t>
    </dgm:pt>
    <dgm:pt modelId="{48563023-F8A0-47E1-AC0A-C6ADF56BA372}" cxnId="{3D656AF3-3106-48CE-9FAA-22BA450290FB}" type="sibTrans">
      <dgm:prSet/>
      <dgm:spPr/>
      <dgm:t>
        <a:bodyPr/>
        <a:p>
          <a:endParaRPr lang="zh-CN" altLang="en-US"/>
        </a:p>
      </dgm:t>
    </dgm:pt>
    <dgm:pt modelId="{A95F64AA-628C-42CF-8A6D-D71EEDF4C507}">
      <dgm:prSet phldrT="[文本]"/>
      <dgm:spPr>
        <a:ln>
          <a:solidFill>
            <a:schemeClr val="tx1"/>
          </a:solidFill>
        </a:ln>
      </dgm:spPr>
      <dgm:t>
        <a:bodyPr/>
        <a:p>
          <a:r>
            <a:rPr lang="zh-CN" altLang="en-US"/>
            <a:t>服务水平</a:t>
          </a:r>
          <a:r>
            <a:rPr lang="en-US" altLang="zh-CN"/>
            <a:t>B</a:t>
          </a:r>
          <a:r>
            <a:rPr lang="en-US" altLang="zh-CN" baseline="-25000"/>
            <a:t>3</a:t>
          </a:r>
          <a:endParaRPr lang="zh-CN" altLang="en-US" baseline="-25000"/>
        </a:p>
      </dgm:t>
    </dgm:pt>
    <dgm:pt modelId="{B0CA86C0-6E0E-4E2F-872A-19A6FB46DBC2}" cxnId="{BF05338E-B8E3-43BB-A265-62F729D7756C}" type="parTrans">
      <dgm:prSet/>
      <dgm:spPr>
        <a:ln>
          <a:solidFill>
            <a:schemeClr val="tx1"/>
          </a:solidFill>
        </a:ln>
      </dgm:spPr>
      <dgm:t>
        <a:bodyPr/>
        <a:p>
          <a:endParaRPr lang="zh-CN" altLang="en-US"/>
        </a:p>
      </dgm:t>
    </dgm:pt>
    <dgm:pt modelId="{3FD25FE6-A19B-4C81-89D3-9CCBA3B2BCC5}" cxnId="{BF05338E-B8E3-43BB-A265-62F729D7756C}" type="sibTrans">
      <dgm:prSet/>
      <dgm:spPr/>
      <dgm:t>
        <a:bodyPr/>
        <a:p>
          <a:endParaRPr lang="zh-CN" altLang="en-US"/>
        </a:p>
      </dgm:t>
    </dgm:pt>
    <dgm:pt modelId="{D9200963-0CFA-4BE9-8296-898BDD7A04B5}">
      <dgm:prSet phldrT="[文本]"/>
      <dgm:spPr>
        <a:ln>
          <a:solidFill>
            <a:schemeClr val="tx1"/>
          </a:solidFill>
        </a:ln>
      </dgm:spPr>
      <dgm:t>
        <a:bodyPr/>
        <a:p>
          <a:r>
            <a:rPr lang="zh-CN" altLang="en-US"/>
            <a:t>平均托运距离</a:t>
          </a:r>
          <a:r>
            <a:rPr lang="en-US" altLang="zh-CN"/>
            <a:t>C</a:t>
          </a:r>
          <a:r>
            <a:rPr lang="en-US" altLang="zh-CN" baseline="-25000"/>
            <a:t>7</a:t>
          </a:r>
          <a:endParaRPr lang="zh-CN" altLang="en-US" baseline="-25000"/>
        </a:p>
      </dgm:t>
    </dgm:pt>
    <dgm:pt modelId="{05A55D8C-D6E1-4E64-A925-0ACC319B8E0E}" cxnId="{186B5E5D-E787-4428-8031-8642AB68364D}" type="parTrans">
      <dgm:prSet/>
      <dgm:spPr>
        <a:ln>
          <a:solidFill>
            <a:schemeClr val="tx1"/>
          </a:solidFill>
        </a:ln>
      </dgm:spPr>
      <dgm:t>
        <a:bodyPr/>
        <a:p>
          <a:endParaRPr lang="zh-CN" altLang="en-US"/>
        </a:p>
      </dgm:t>
    </dgm:pt>
    <dgm:pt modelId="{71A4F246-6F59-49F3-B843-954708B08B69}" cxnId="{186B5E5D-E787-4428-8031-8642AB68364D}" type="sibTrans">
      <dgm:prSet/>
      <dgm:spPr/>
      <dgm:t>
        <a:bodyPr/>
        <a:p>
          <a:endParaRPr lang="zh-CN" altLang="en-US"/>
        </a:p>
      </dgm:t>
    </dgm:pt>
    <dgm:pt modelId="{2CB4A1A1-16AB-4C83-BACD-F3A53C8FD54C}">
      <dgm:prSet phldrT="[文本]"/>
      <dgm:spPr>
        <a:ln w="19050"/>
      </dgm:spPr>
      <dgm:t>
        <a:bodyPr/>
        <a:p>
          <a:endParaRPr lang="zh-CN" altLang="en-US">
            <a:ln>
              <a:solidFill>
                <a:srgbClr val="C00000"/>
              </a:solidFill>
            </a:ln>
          </a:endParaRPr>
        </a:p>
      </dgm:t>
    </dgm:pt>
    <dgm:pt modelId="{89F55F00-A72D-41A6-BE51-52C75EC91FE7}" cxnId="{E85CD03B-F0D0-49AE-BE2A-6E7D0DBEA233}" type="sibTrans">
      <dgm:prSet/>
      <dgm:spPr/>
      <dgm:t>
        <a:bodyPr/>
        <a:p>
          <a:endParaRPr lang="zh-CN" altLang="en-US"/>
        </a:p>
      </dgm:t>
    </dgm:pt>
    <dgm:pt modelId="{935492AA-4980-4FC2-AB60-D7B2F41AF654}" cxnId="{E85CD03B-F0D0-49AE-BE2A-6E7D0DBEA233}" type="parTrans">
      <dgm:prSet/>
      <dgm:spPr/>
      <dgm:t>
        <a:bodyPr/>
        <a:p>
          <a:endParaRPr lang="zh-CN" altLang="en-US"/>
        </a:p>
      </dgm:t>
    </dgm:pt>
    <dgm:pt modelId="{E0C48620-7D3B-4F77-81C9-4E0F1087819D}">
      <dgm:prSet phldrT="[文本]"/>
      <dgm:spPr>
        <a:ln>
          <a:solidFill>
            <a:schemeClr val="tx1"/>
          </a:solidFill>
        </a:ln>
      </dgm:spPr>
      <dgm:t>
        <a:bodyPr/>
        <a:p>
          <a:r>
            <a:rPr lang="zh-CN" altLang="en-US"/>
            <a:t>平均收发货时耗</a:t>
          </a:r>
          <a:r>
            <a:rPr lang="en-US" altLang="zh-CN"/>
            <a:t>C</a:t>
          </a:r>
          <a:r>
            <a:rPr lang="en-US" altLang="zh-CN" baseline="-25000"/>
            <a:t>9</a:t>
          </a:r>
          <a:endParaRPr lang="zh-CN" altLang="en-US" baseline="-25000"/>
        </a:p>
      </dgm:t>
    </dgm:pt>
    <dgm:pt modelId="{472D50FA-2890-46DF-A702-5C0BFB72F018}" cxnId="{DBF3DDF3-3065-4BB2-AA50-F601518B450A}" type="parTrans">
      <dgm:prSet/>
      <dgm:spPr>
        <a:ln>
          <a:solidFill>
            <a:schemeClr val="tx1"/>
          </a:solidFill>
        </a:ln>
      </dgm:spPr>
      <dgm:t>
        <a:bodyPr/>
        <a:p>
          <a:endParaRPr lang="zh-CN" altLang="en-US"/>
        </a:p>
      </dgm:t>
    </dgm:pt>
    <dgm:pt modelId="{E7D27D13-01CF-4DD6-B85E-1E77C2BBBC32}" cxnId="{DBF3DDF3-3065-4BB2-AA50-F601518B450A}" type="sibTrans">
      <dgm:prSet/>
      <dgm:spPr/>
      <dgm:t>
        <a:bodyPr/>
        <a:p>
          <a:endParaRPr lang="zh-CN" altLang="en-US"/>
        </a:p>
      </dgm:t>
    </dgm:pt>
    <dgm:pt modelId="{1FD97440-A4F2-4FE1-903B-F51F75A5684C}" type="pres">
      <dgm:prSet presAssocID="{C98AD379-552D-4091-872B-10CFEE6834B9}" presName="Name0" presStyleCnt="0">
        <dgm:presLayoutVars>
          <dgm:chPref val="1"/>
          <dgm:dir/>
          <dgm:animOne val="branch"/>
          <dgm:animLvl val="lvl"/>
          <dgm:resizeHandles val="exact"/>
        </dgm:presLayoutVars>
      </dgm:prSet>
      <dgm:spPr/>
      <dgm:t>
        <a:bodyPr/>
        <a:p>
          <a:endParaRPr lang="zh-CN" altLang="en-US"/>
        </a:p>
      </dgm:t>
    </dgm:pt>
    <dgm:pt modelId="{AB615CB2-E33A-48E6-9DDE-96FFF00DC80A}" type="pres">
      <dgm:prSet presAssocID="{2CB4A1A1-16AB-4C83-BACD-F3A53C8FD54C}" presName="root1" presStyleCnt="0"/>
      <dgm:spPr/>
    </dgm:pt>
    <dgm:pt modelId="{C2E95261-E3E4-4873-900F-8250DB9008BC}" type="pres">
      <dgm:prSet presAssocID="{2CB4A1A1-16AB-4C83-BACD-F3A53C8FD54C}" presName="LevelOneTextNode" presStyleLbl="node0" presStyleIdx="0" presStyleCnt="1" custScaleX="184627" custScaleY="220690" custLinFactX="-25959" custLinFactNeighborX="-100000" custLinFactNeighborY="-665">
        <dgm:presLayoutVars>
          <dgm:chPref val="3"/>
        </dgm:presLayoutVars>
      </dgm:prSet>
      <dgm:spPr/>
      <dgm:t>
        <a:bodyPr/>
        <a:p>
          <a:endParaRPr lang="zh-CN" altLang="en-US"/>
        </a:p>
      </dgm:t>
    </dgm:pt>
    <dgm:pt modelId="{F731168D-28A0-4C39-AB89-600774C3E35F}" type="pres">
      <dgm:prSet presAssocID="{2CB4A1A1-16AB-4C83-BACD-F3A53C8FD54C}" presName="level2hierChild" presStyleCnt="0"/>
      <dgm:spPr/>
    </dgm:pt>
    <dgm:pt modelId="{E8AE1A7C-5F86-4687-AA9E-6B3415EF03B5}" type="pres">
      <dgm:prSet presAssocID="{A727C616-791D-4713-89C3-78FB784EBC33}" presName="conn2-1" presStyleLbl="parChTrans1D2" presStyleIdx="0" presStyleCnt="3"/>
      <dgm:spPr/>
      <dgm:t>
        <a:bodyPr/>
        <a:p>
          <a:endParaRPr lang="zh-CN" altLang="en-US"/>
        </a:p>
      </dgm:t>
    </dgm:pt>
    <dgm:pt modelId="{8163BEF1-42B0-463F-817B-6D60951B62E1}" type="pres">
      <dgm:prSet presAssocID="{A727C616-791D-4713-89C3-78FB784EBC33}" presName="connTx" presStyleLbl="parChTrans1D2" presStyleIdx="0" presStyleCnt="3"/>
      <dgm:spPr/>
      <dgm:t>
        <a:bodyPr/>
        <a:p>
          <a:endParaRPr lang="zh-CN" altLang="en-US"/>
        </a:p>
      </dgm:t>
    </dgm:pt>
    <dgm:pt modelId="{F13E6170-C162-4E8E-BAA0-4313016D5790}" type="pres">
      <dgm:prSet presAssocID="{FB9C3349-ACC4-4EBE-A35E-B712F87B9E07}" presName="root2" presStyleCnt="0"/>
      <dgm:spPr/>
    </dgm:pt>
    <dgm:pt modelId="{C4028277-E0E3-4082-B82C-01EC25B2B779}" type="pres">
      <dgm:prSet presAssocID="{FB9C3349-ACC4-4EBE-A35E-B712F87B9E07}" presName="LevelTwoTextNode" presStyleLbl="node2" presStyleIdx="0" presStyleCnt="3">
        <dgm:presLayoutVars>
          <dgm:chPref val="3"/>
        </dgm:presLayoutVars>
      </dgm:prSet>
      <dgm:spPr/>
      <dgm:t>
        <a:bodyPr/>
        <a:p>
          <a:endParaRPr lang="zh-CN" altLang="en-US"/>
        </a:p>
      </dgm:t>
    </dgm:pt>
    <dgm:pt modelId="{AD756EC5-9163-4AE0-BDA1-CB4747845097}" type="pres">
      <dgm:prSet presAssocID="{FB9C3349-ACC4-4EBE-A35E-B712F87B9E07}" presName="level3hierChild" presStyleCnt="0"/>
      <dgm:spPr/>
    </dgm:pt>
    <dgm:pt modelId="{5B293E58-F79D-478F-9871-A21FD829F835}" type="pres">
      <dgm:prSet presAssocID="{559DE539-439F-4012-A8C4-790B77C72285}" presName="conn2-1" presStyleLbl="parChTrans1D3" presStyleIdx="0" presStyleCnt="9"/>
      <dgm:spPr/>
      <dgm:t>
        <a:bodyPr/>
        <a:p>
          <a:endParaRPr lang="zh-CN" altLang="en-US"/>
        </a:p>
      </dgm:t>
    </dgm:pt>
    <dgm:pt modelId="{512EAC4A-FE39-428F-BBB6-3938E782A291}" type="pres">
      <dgm:prSet presAssocID="{559DE539-439F-4012-A8C4-790B77C72285}" presName="connTx" presStyleLbl="parChTrans1D3" presStyleIdx="0" presStyleCnt="9"/>
      <dgm:spPr/>
      <dgm:t>
        <a:bodyPr/>
        <a:p>
          <a:endParaRPr lang="zh-CN" altLang="en-US"/>
        </a:p>
      </dgm:t>
    </dgm:pt>
    <dgm:pt modelId="{31360EF0-6CDC-43BD-A9FD-2B97DCED2DF8}" type="pres">
      <dgm:prSet presAssocID="{1EA8593A-ACF6-4DC2-B8E2-1564984DB181}" presName="root2" presStyleCnt="0"/>
      <dgm:spPr/>
    </dgm:pt>
    <dgm:pt modelId="{9289DA1A-571B-4331-AC42-2C39FDE7B28C}" type="pres">
      <dgm:prSet presAssocID="{1EA8593A-ACF6-4DC2-B8E2-1564984DB181}" presName="LevelTwoTextNode" presStyleLbl="node3" presStyleIdx="0" presStyleCnt="9" custScaleX="146259" custLinFactNeighborX="43554">
        <dgm:presLayoutVars>
          <dgm:chPref val="3"/>
        </dgm:presLayoutVars>
      </dgm:prSet>
      <dgm:spPr/>
      <dgm:t>
        <a:bodyPr/>
        <a:p>
          <a:endParaRPr lang="zh-CN" altLang="en-US"/>
        </a:p>
      </dgm:t>
    </dgm:pt>
    <dgm:pt modelId="{AA9F503D-4BAA-44D9-B24D-8A648A7941A7}" type="pres">
      <dgm:prSet presAssocID="{1EA8593A-ACF6-4DC2-B8E2-1564984DB181}" presName="level3hierChild" presStyleCnt="0"/>
      <dgm:spPr/>
    </dgm:pt>
    <dgm:pt modelId="{28E41196-D885-4731-AD3B-560CC11B1913}" type="pres">
      <dgm:prSet presAssocID="{B8A25564-4CB5-4DE0-B125-60CB44B85BB7}" presName="conn2-1" presStyleLbl="parChTrans1D3" presStyleIdx="1" presStyleCnt="9"/>
      <dgm:spPr/>
      <dgm:t>
        <a:bodyPr/>
        <a:p>
          <a:endParaRPr lang="zh-CN" altLang="en-US"/>
        </a:p>
      </dgm:t>
    </dgm:pt>
    <dgm:pt modelId="{7FF70712-EA94-4261-AA86-8CAF74DFA576}" type="pres">
      <dgm:prSet presAssocID="{B8A25564-4CB5-4DE0-B125-60CB44B85BB7}" presName="connTx" presStyleLbl="parChTrans1D3" presStyleIdx="1" presStyleCnt="9"/>
      <dgm:spPr/>
      <dgm:t>
        <a:bodyPr/>
        <a:p>
          <a:endParaRPr lang="zh-CN" altLang="en-US"/>
        </a:p>
      </dgm:t>
    </dgm:pt>
    <dgm:pt modelId="{02915431-F7BB-4FA4-A783-23FA80F49E40}" type="pres">
      <dgm:prSet presAssocID="{2950A62F-F9BE-46C9-A9B8-FC315980D89A}" presName="root2" presStyleCnt="0"/>
      <dgm:spPr/>
    </dgm:pt>
    <dgm:pt modelId="{87BE7787-80A4-476A-B85E-C592121596C5}" type="pres">
      <dgm:prSet presAssocID="{2950A62F-F9BE-46C9-A9B8-FC315980D89A}" presName="LevelTwoTextNode" presStyleLbl="node3" presStyleIdx="1" presStyleCnt="9" custScaleX="148394" custScaleY="102821" custLinFactNeighborX="43554">
        <dgm:presLayoutVars>
          <dgm:chPref val="3"/>
        </dgm:presLayoutVars>
      </dgm:prSet>
      <dgm:spPr/>
      <dgm:t>
        <a:bodyPr/>
        <a:p>
          <a:endParaRPr lang="zh-CN" altLang="en-US"/>
        </a:p>
      </dgm:t>
    </dgm:pt>
    <dgm:pt modelId="{63F99E46-970A-4EED-94F6-6EFB9B07C556}" type="pres">
      <dgm:prSet presAssocID="{2950A62F-F9BE-46C9-A9B8-FC315980D89A}" presName="level3hierChild" presStyleCnt="0"/>
      <dgm:spPr/>
    </dgm:pt>
    <dgm:pt modelId="{61D25C78-5DE3-4E72-A323-96B49B078ACF}" type="pres">
      <dgm:prSet presAssocID="{8E5B4E27-7F22-492D-8787-78975199ECB4}" presName="conn2-1" presStyleLbl="parChTrans1D3" presStyleIdx="2" presStyleCnt="9"/>
      <dgm:spPr/>
      <dgm:t>
        <a:bodyPr/>
        <a:p>
          <a:endParaRPr lang="zh-CN" altLang="en-US"/>
        </a:p>
      </dgm:t>
    </dgm:pt>
    <dgm:pt modelId="{7F79F224-4725-4EF8-969B-FEC41F207310}" type="pres">
      <dgm:prSet presAssocID="{8E5B4E27-7F22-492D-8787-78975199ECB4}" presName="connTx" presStyleLbl="parChTrans1D3" presStyleIdx="2" presStyleCnt="9"/>
      <dgm:spPr/>
      <dgm:t>
        <a:bodyPr/>
        <a:p>
          <a:endParaRPr lang="zh-CN" altLang="en-US"/>
        </a:p>
      </dgm:t>
    </dgm:pt>
    <dgm:pt modelId="{F806ED50-A036-4F59-8823-E65959F549AD}" type="pres">
      <dgm:prSet presAssocID="{8EB7BAA3-7459-43FA-B1F7-85752EAF611D}" presName="root2" presStyleCnt="0"/>
      <dgm:spPr/>
    </dgm:pt>
    <dgm:pt modelId="{176A98B6-F380-429D-A7AA-D33CD877A834}" type="pres">
      <dgm:prSet presAssocID="{8EB7BAA3-7459-43FA-B1F7-85752EAF611D}" presName="LevelTwoTextNode" presStyleLbl="node3" presStyleIdx="2" presStyleCnt="9" custScaleX="148896" custLinFactNeighborX="43554">
        <dgm:presLayoutVars>
          <dgm:chPref val="3"/>
        </dgm:presLayoutVars>
      </dgm:prSet>
      <dgm:spPr/>
      <dgm:t>
        <a:bodyPr/>
        <a:p>
          <a:endParaRPr lang="zh-CN" altLang="en-US"/>
        </a:p>
      </dgm:t>
    </dgm:pt>
    <dgm:pt modelId="{B9D94D25-73E5-4F5B-B097-F8EFDE152E5A}" type="pres">
      <dgm:prSet presAssocID="{8EB7BAA3-7459-43FA-B1F7-85752EAF611D}" presName="level3hierChild" presStyleCnt="0"/>
      <dgm:spPr/>
    </dgm:pt>
    <dgm:pt modelId="{6E2D01D8-56AB-483A-B3F6-ECA3DA14C744}" type="pres">
      <dgm:prSet presAssocID="{F0521F29-616B-4CB6-B4EE-1092BB85C512}" presName="conn2-1" presStyleLbl="parChTrans1D2" presStyleIdx="1" presStyleCnt="3"/>
      <dgm:spPr/>
      <dgm:t>
        <a:bodyPr/>
        <a:p>
          <a:endParaRPr lang="zh-CN" altLang="en-US"/>
        </a:p>
      </dgm:t>
    </dgm:pt>
    <dgm:pt modelId="{73210F8D-FA3F-4DCD-AE69-53220920CEF9}" type="pres">
      <dgm:prSet presAssocID="{F0521F29-616B-4CB6-B4EE-1092BB85C512}" presName="connTx" presStyleLbl="parChTrans1D2" presStyleIdx="1" presStyleCnt="3"/>
      <dgm:spPr/>
      <dgm:t>
        <a:bodyPr/>
        <a:p>
          <a:endParaRPr lang="zh-CN" altLang="en-US"/>
        </a:p>
      </dgm:t>
    </dgm:pt>
    <dgm:pt modelId="{F38B2407-6E95-405F-B7F8-D92100453810}" type="pres">
      <dgm:prSet presAssocID="{1A00BC4D-66EC-42DD-A991-72ABB59756EA}" presName="root2" presStyleCnt="0"/>
      <dgm:spPr/>
    </dgm:pt>
    <dgm:pt modelId="{2F2BBDA6-C3CA-4BD3-B789-8DAF6B3516C3}" type="pres">
      <dgm:prSet presAssocID="{1A00BC4D-66EC-42DD-A991-72ABB59756EA}" presName="LevelTwoTextNode" presStyleLbl="node2" presStyleIdx="1" presStyleCnt="3">
        <dgm:presLayoutVars>
          <dgm:chPref val="3"/>
        </dgm:presLayoutVars>
      </dgm:prSet>
      <dgm:spPr/>
      <dgm:t>
        <a:bodyPr/>
        <a:p>
          <a:endParaRPr lang="zh-CN" altLang="en-US"/>
        </a:p>
      </dgm:t>
    </dgm:pt>
    <dgm:pt modelId="{F903FF92-D3E7-40BE-AB33-9B90952987F5}" type="pres">
      <dgm:prSet presAssocID="{1A00BC4D-66EC-42DD-A991-72ABB59756EA}" presName="level3hierChild" presStyleCnt="0"/>
      <dgm:spPr/>
    </dgm:pt>
    <dgm:pt modelId="{28DE9318-9290-4736-81BE-6093ADE773DC}" type="pres">
      <dgm:prSet presAssocID="{1ECAAFBB-FF29-4F0C-A72D-005F5D6510F1}" presName="conn2-1" presStyleLbl="parChTrans1D3" presStyleIdx="3" presStyleCnt="9"/>
      <dgm:spPr/>
      <dgm:t>
        <a:bodyPr/>
        <a:p>
          <a:endParaRPr lang="zh-CN" altLang="en-US"/>
        </a:p>
      </dgm:t>
    </dgm:pt>
    <dgm:pt modelId="{5347C039-BA62-496C-A8F2-89185B897860}" type="pres">
      <dgm:prSet presAssocID="{1ECAAFBB-FF29-4F0C-A72D-005F5D6510F1}" presName="connTx" presStyleLbl="parChTrans1D3" presStyleIdx="3" presStyleCnt="9"/>
      <dgm:spPr/>
      <dgm:t>
        <a:bodyPr/>
        <a:p>
          <a:endParaRPr lang="zh-CN" altLang="en-US"/>
        </a:p>
      </dgm:t>
    </dgm:pt>
    <dgm:pt modelId="{C4C9417B-E1DB-4101-809A-9C1E0E68A157}" type="pres">
      <dgm:prSet presAssocID="{324F1724-3987-4853-AE57-99340D6BB19E}" presName="root2" presStyleCnt="0"/>
      <dgm:spPr/>
    </dgm:pt>
    <dgm:pt modelId="{232B4E64-0738-48AC-9230-59DE21EE472D}" type="pres">
      <dgm:prSet presAssocID="{324F1724-3987-4853-AE57-99340D6BB19E}" presName="LevelTwoTextNode" presStyleLbl="node3" presStyleIdx="3" presStyleCnt="9" custScaleX="148896" custLinFactNeighborX="43554">
        <dgm:presLayoutVars>
          <dgm:chPref val="3"/>
        </dgm:presLayoutVars>
      </dgm:prSet>
      <dgm:spPr/>
      <dgm:t>
        <a:bodyPr/>
        <a:p>
          <a:endParaRPr lang="zh-CN" altLang="en-US"/>
        </a:p>
      </dgm:t>
    </dgm:pt>
    <dgm:pt modelId="{0EF3A337-4FA3-414F-A186-42C19380A586}" type="pres">
      <dgm:prSet presAssocID="{324F1724-3987-4853-AE57-99340D6BB19E}" presName="level3hierChild" presStyleCnt="0"/>
      <dgm:spPr/>
    </dgm:pt>
    <dgm:pt modelId="{CB79D646-584A-411C-A899-BFE97D205E93}" type="pres">
      <dgm:prSet presAssocID="{B769577E-894B-4D1C-8797-5AB4BCB44D0A}" presName="conn2-1" presStyleLbl="parChTrans1D3" presStyleIdx="4" presStyleCnt="9"/>
      <dgm:spPr/>
      <dgm:t>
        <a:bodyPr/>
        <a:p>
          <a:endParaRPr lang="zh-CN" altLang="en-US"/>
        </a:p>
      </dgm:t>
    </dgm:pt>
    <dgm:pt modelId="{E2ED22A1-C621-4B09-8735-02B12EEA9B8E}" type="pres">
      <dgm:prSet presAssocID="{B769577E-894B-4D1C-8797-5AB4BCB44D0A}" presName="connTx" presStyleLbl="parChTrans1D3" presStyleIdx="4" presStyleCnt="9"/>
      <dgm:spPr/>
      <dgm:t>
        <a:bodyPr/>
        <a:p>
          <a:endParaRPr lang="zh-CN" altLang="en-US"/>
        </a:p>
      </dgm:t>
    </dgm:pt>
    <dgm:pt modelId="{D28200D0-9916-45F7-BFE1-1D922028DF93}" type="pres">
      <dgm:prSet presAssocID="{9D5F45A0-3AF5-4E50-BEA8-A0B05B63FF6C}" presName="root2" presStyleCnt="0"/>
      <dgm:spPr/>
    </dgm:pt>
    <dgm:pt modelId="{20747498-02E5-45C3-9D7B-E3DEDF0B71A9}" type="pres">
      <dgm:prSet presAssocID="{9D5F45A0-3AF5-4E50-BEA8-A0B05B63FF6C}" presName="LevelTwoTextNode" presStyleLbl="node3" presStyleIdx="4" presStyleCnt="9" custScaleX="146328" custLinFactNeighborX="43554">
        <dgm:presLayoutVars>
          <dgm:chPref val="3"/>
        </dgm:presLayoutVars>
      </dgm:prSet>
      <dgm:spPr/>
      <dgm:t>
        <a:bodyPr/>
        <a:p>
          <a:endParaRPr lang="zh-CN" altLang="en-US"/>
        </a:p>
      </dgm:t>
    </dgm:pt>
    <dgm:pt modelId="{CD33773E-DA4E-46F1-A0B1-F0C0C07A0999}" type="pres">
      <dgm:prSet presAssocID="{9D5F45A0-3AF5-4E50-BEA8-A0B05B63FF6C}" presName="level3hierChild" presStyleCnt="0"/>
      <dgm:spPr/>
    </dgm:pt>
    <dgm:pt modelId="{DCDF9066-4818-4825-83CF-7F825D9F0454}" type="pres">
      <dgm:prSet presAssocID="{4E6AD1F9-61DB-4F55-9CCF-E52EAFCC256F}" presName="conn2-1" presStyleLbl="parChTrans1D3" presStyleIdx="5" presStyleCnt="9"/>
      <dgm:spPr/>
      <dgm:t>
        <a:bodyPr/>
        <a:p>
          <a:endParaRPr lang="zh-CN" altLang="en-US"/>
        </a:p>
      </dgm:t>
    </dgm:pt>
    <dgm:pt modelId="{FF248FFA-4C68-4179-BC2A-61781CB03F33}" type="pres">
      <dgm:prSet presAssocID="{4E6AD1F9-61DB-4F55-9CCF-E52EAFCC256F}" presName="connTx" presStyleLbl="parChTrans1D3" presStyleIdx="5" presStyleCnt="9"/>
      <dgm:spPr/>
      <dgm:t>
        <a:bodyPr/>
        <a:p>
          <a:endParaRPr lang="zh-CN" altLang="en-US"/>
        </a:p>
      </dgm:t>
    </dgm:pt>
    <dgm:pt modelId="{65FC40E5-0738-4451-8AD9-0433E936E9F7}" type="pres">
      <dgm:prSet presAssocID="{0BF6C0F2-72EE-4A6A-BD72-EBCBC393E042}" presName="root2" presStyleCnt="0"/>
      <dgm:spPr/>
    </dgm:pt>
    <dgm:pt modelId="{889A7331-154B-4CEB-AA93-1F8D89E48C0D}" type="pres">
      <dgm:prSet presAssocID="{0BF6C0F2-72EE-4A6A-BD72-EBCBC393E042}" presName="LevelTwoTextNode" presStyleLbl="node3" presStyleIdx="5" presStyleCnt="9" custScaleX="147112" custLinFactNeighborX="43554">
        <dgm:presLayoutVars>
          <dgm:chPref val="3"/>
        </dgm:presLayoutVars>
      </dgm:prSet>
      <dgm:spPr/>
      <dgm:t>
        <a:bodyPr/>
        <a:p>
          <a:endParaRPr lang="zh-CN" altLang="en-US"/>
        </a:p>
      </dgm:t>
    </dgm:pt>
    <dgm:pt modelId="{A73AA478-7EC5-4B3B-BE90-1DCA6491C9BB}" type="pres">
      <dgm:prSet presAssocID="{0BF6C0F2-72EE-4A6A-BD72-EBCBC393E042}" presName="level3hierChild" presStyleCnt="0"/>
      <dgm:spPr/>
    </dgm:pt>
    <dgm:pt modelId="{5A00D8D0-253F-4EED-8593-302BE8B4D9F9}" type="pres">
      <dgm:prSet presAssocID="{B0CA86C0-6E0E-4E2F-872A-19A6FB46DBC2}" presName="conn2-1" presStyleLbl="parChTrans1D2" presStyleIdx="2" presStyleCnt="3"/>
      <dgm:spPr/>
      <dgm:t>
        <a:bodyPr/>
        <a:p>
          <a:endParaRPr lang="zh-CN" altLang="en-US"/>
        </a:p>
      </dgm:t>
    </dgm:pt>
    <dgm:pt modelId="{52540805-55A0-4B03-A80C-7D7A5C7A55FC}" type="pres">
      <dgm:prSet presAssocID="{B0CA86C0-6E0E-4E2F-872A-19A6FB46DBC2}" presName="connTx" presStyleLbl="parChTrans1D2" presStyleIdx="2" presStyleCnt="3"/>
      <dgm:spPr/>
      <dgm:t>
        <a:bodyPr/>
        <a:p>
          <a:endParaRPr lang="zh-CN" altLang="en-US"/>
        </a:p>
      </dgm:t>
    </dgm:pt>
    <dgm:pt modelId="{5659BCBA-C167-4876-B9AA-D268E5054A5C}" type="pres">
      <dgm:prSet presAssocID="{A95F64AA-628C-42CF-8A6D-D71EEDF4C507}" presName="root2" presStyleCnt="0"/>
      <dgm:spPr/>
    </dgm:pt>
    <dgm:pt modelId="{7C943DDB-028A-47C5-8077-7B89C73F23B6}" type="pres">
      <dgm:prSet presAssocID="{A95F64AA-628C-42CF-8A6D-D71EEDF4C507}" presName="LevelTwoTextNode" presStyleLbl="node2" presStyleIdx="2" presStyleCnt="3">
        <dgm:presLayoutVars>
          <dgm:chPref val="3"/>
        </dgm:presLayoutVars>
      </dgm:prSet>
      <dgm:spPr/>
      <dgm:t>
        <a:bodyPr/>
        <a:p>
          <a:endParaRPr lang="zh-CN" altLang="en-US"/>
        </a:p>
      </dgm:t>
    </dgm:pt>
    <dgm:pt modelId="{31275501-697C-4348-B87C-96D09A955E52}" type="pres">
      <dgm:prSet presAssocID="{A95F64AA-628C-42CF-8A6D-D71EEDF4C507}" presName="level3hierChild" presStyleCnt="0"/>
      <dgm:spPr/>
    </dgm:pt>
    <dgm:pt modelId="{C7334CB2-05C4-4BD1-84D0-6496CEAE5B34}" type="pres">
      <dgm:prSet presAssocID="{05A55D8C-D6E1-4E64-A925-0ACC319B8E0E}" presName="conn2-1" presStyleLbl="parChTrans1D3" presStyleIdx="6" presStyleCnt="9"/>
      <dgm:spPr/>
      <dgm:t>
        <a:bodyPr/>
        <a:p>
          <a:endParaRPr lang="zh-CN" altLang="en-US"/>
        </a:p>
      </dgm:t>
    </dgm:pt>
    <dgm:pt modelId="{E5544451-9155-4F9A-BC68-76712480FF9C}" type="pres">
      <dgm:prSet presAssocID="{05A55D8C-D6E1-4E64-A925-0ACC319B8E0E}" presName="connTx" presStyleLbl="parChTrans1D3" presStyleIdx="6" presStyleCnt="9"/>
      <dgm:spPr/>
      <dgm:t>
        <a:bodyPr/>
        <a:p>
          <a:endParaRPr lang="zh-CN" altLang="en-US"/>
        </a:p>
      </dgm:t>
    </dgm:pt>
    <dgm:pt modelId="{C7A28972-35C4-4B63-B165-E4E4FB1AE810}" type="pres">
      <dgm:prSet presAssocID="{D9200963-0CFA-4BE9-8296-898BDD7A04B5}" presName="root2" presStyleCnt="0"/>
      <dgm:spPr/>
    </dgm:pt>
    <dgm:pt modelId="{597DC6C0-E7DD-4ADA-B1D3-91205B9D492A}" type="pres">
      <dgm:prSet presAssocID="{D9200963-0CFA-4BE9-8296-898BDD7A04B5}" presName="LevelTwoTextNode" presStyleLbl="node3" presStyleIdx="6" presStyleCnt="9" custScaleX="147724" custLinFactNeighborX="43554">
        <dgm:presLayoutVars>
          <dgm:chPref val="3"/>
        </dgm:presLayoutVars>
      </dgm:prSet>
      <dgm:spPr/>
      <dgm:t>
        <a:bodyPr/>
        <a:p>
          <a:endParaRPr lang="zh-CN" altLang="en-US"/>
        </a:p>
      </dgm:t>
    </dgm:pt>
    <dgm:pt modelId="{0D5B1104-2C6F-42F9-9F39-15A480D65A86}" type="pres">
      <dgm:prSet presAssocID="{D9200963-0CFA-4BE9-8296-898BDD7A04B5}" presName="level3hierChild" presStyleCnt="0"/>
      <dgm:spPr/>
    </dgm:pt>
    <dgm:pt modelId="{5AD4B2C1-3453-419D-8F2D-1DA834866895}" type="pres">
      <dgm:prSet presAssocID="{4491538A-6E5E-4015-8FEF-9FB8C5D5F910}" presName="conn2-1" presStyleLbl="parChTrans1D3" presStyleIdx="7" presStyleCnt="9"/>
      <dgm:spPr/>
      <dgm:t>
        <a:bodyPr/>
        <a:p>
          <a:endParaRPr lang="zh-CN" altLang="en-US"/>
        </a:p>
      </dgm:t>
    </dgm:pt>
    <dgm:pt modelId="{707E7DA0-CFC9-41E8-8F04-978F33E3EE4C}" type="pres">
      <dgm:prSet presAssocID="{4491538A-6E5E-4015-8FEF-9FB8C5D5F910}" presName="connTx" presStyleLbl="parChTrans1D3" presStyleIdx="7" presStyleCnt="9"/>
      <dgm:spPr/>
      <dgm:t>
        <a:bodyPr/>
        <a:p>
          <a:endParaRPr lang="zh-CN" altLang="en-US"/>
        </a:p>
      </dgm:t>
    </dgm:pt>
    <dgm:pt modelId="{9E630434-34B9-4F2D-BF13-81CFAFFC5075}" type="pres">
      <dgm:prSet presAssocID="{3824FD8F-7BFD-47A9-84CC-F339F40B455E}" presName="root2" presStyleCnt="0"/>
      <dgm:spPr/>
    </dgm:pt>
    <dgm:pt modelId="{7091C208-D7FB-41D1-B1E9-8DFEA0A314C2}" type="pres">
      <dgm:prSet presAssocID="{3824FD8F-7BFD-47A9-84CC-F339F40B455E}" presName="LevelTwoTextNode" presStyleLbl="node3" presStyleIdx="7" presStyleCnt="9" custScaleX="148820" custLinFactNeighborX="43554">
        <dgm:presLayoutVars>
          <dgm:chPref val="3"/>
        </dgm:presLayoutVars>
      </dgm:prSet>
      <dgm:spPr/>
      <dgm:t>
        <a:bodyPr/>
        <a:p>
          <a:endParaRPr lang="zh-CN" altLang="en-US"/>
        </a:p>
      </dgm:t>
    </dgm:pt>
    <dgm:pt modelId="{97782F78-0187-4D3A-8718-4312B880059B}" type="pres">
      <dgm:prSet presAssocID="{3824FD8F-7BFD-47A9-84CC-F339F40B455E}" presName="level3hierChild" presStyleCnt="0"/>
      <dgm:spPr/>
    </dgm:pt>
    <dgm:pt modelId="{7F36E62D-6FB9-4A3D-B728-5A5271C81BC6}" type="pres">
      <dgm:prSet presAssocID="{472D50FA-2890-46DF-A702-5C0BFB72F018}" presName="conn2-1" presStyleLbl="parChTrans1D3" presStyleIdx="8" presStyleCnt="9"/>
      <dgm:spPr/>
      <dgm:t>
        <a:bodyPr/>
        <a:p>
          <a:endParaRPr lang="zh-CN" altLang="en-US"/>
        </a:p>
      </dgm:t>
    </dgm:pt>
    <dgm:pt modelId="{67B8BDCE-B1EB-4D1E-9093-A56E1FBC32A5}" type="pres">
      <dgm:prSet presAssocID="{472D50FA-2890-46DF-A702-5C0BFB72F018}" presName="connTx" presStyleLbl="parChTrans1D3" presStyleIdx="8" presStyleCnt="9"/>
      <dgm:spPr/>
      <dgm:t>
        <a:bodyPr/>
        <a:p>
          <a:endParaRPr lang="zh-CN" altLang="en-US"/>
        </a:p>
      </dgm:t>
    </dgm:pt>
    <dgm:pt modelId="{ABF4689F-A999-4208-BF62-68A1E2C237FF}" type="pres">
      <dgm:prSet presAssocID="{E0C48620-7D3B-4F77-81C9-4E0F1087819D}" presName="root2" presStyleCnt="0"/>
      <dgm:spPr/>
    </dgm:pt>
    <dgm:pt modelId="{8B57E505-37EE-4DF9-9FB7-DD522E90F66A}" type="pres">
      <dgm:prSet presAssocID="{E0C48620-7D3B-4F77-81C9-4E0F1087819D}" presName="LevelTwoTextNode" presStyleLbl="node3" presStyleIdx="8" presStyleCnt="9" custScaleX="148342" custLinFactNeighborX="43554">
        <dgm:presLayoutVars>
          <dgm:chPref val="3"/>
        </dgm:presLayoutVars>
      </dgm:prSet>
      <dgm:spPr/>
      <dgm:t>
        <a:bodyPr/>
        <a:p>
          <a:endParaRPr lang="zh-CN" altLang="en-US"/>
        </a:p>
      </dgm:t>
    </dgm:pt>
    <dgm:pt modelId="{48B7BF21-154F-44A1-93D9-B85996F8489E}" type="pres">
      <dgm:prSet presAssocID="{E0C48620-7D3B-4F77-81C9-4E0F1087819D}" presName="level3hierChild" presStyleCnt="0"/>
      <dgm:spPr/>
    </dgm:pt>
  </dgm:ptLst>
  <dgm:cxnLst>
    <dgm:cxn modelId="{65E10898-BC0A-41A8-B97D-5BB655CF30F2}" type="presOf" srcId="{05A55D8C-D6E1-4E64-A925-0ACC319B8E0E}" destId="{E5544451-9155-4F9A-BC68-76712480FF9C}" srcOrd="1" destOrd="0" presId="urn:microsoft.com/office/officeart/2008/layout/HorizontalMultiLevelHierarchy#3"/>
    <dgm:cxn modelId="{D65EB1A3-9C48-4E48-8462-C8CE15BC47A7}" type="presOf" srcId="{559DE539-439F-4012-A8C4-790B77C72285}" destId="{512EAC4A-FE39-428F-BBB6-3938E782A291}" srcOrd="1" destOrd="0" presId="urn:microsoft.com/office/officeart/2008/layout/HorizontalMultiLevelHierarchy#3"/>
    <dgm:cxn modelId="{E2489FBA-D583-4532-89DF-95D9FBD127C8}" type="presOf" srcId="{FB9C3349-ACC4-4EBE-A35E-B712F87B9E07}" destId="{C4028277-E0E3-4082-B82C-01EC25B2B779}" srcOrd="0" destOrd="0" presId="urn:microsoft.com/office/officeart/2008/layout/HorizontalMultiLevelHierarchy#3"/>
    <dgm:cxn modelId="{735BA3ED-9068-4ED6-8DB9-B1B1CC154255}" type="presOf" srcId="{B769577E-894B-4D1C-8797-5AB4BCB44D0A}" destId="{CB79D646-584A-411C-A899-BFE97D205E93}" srcOrd="0" destOrd="0" presId="urn:microsoft.com/office/officeart/2008/layout/HorizontalMultiLevelHierarchy#3"/>
    <dgm:cxn modelId="{395A6B1E-45AB-4721-AFDB-A7EF3AEA8074}" srcId="{2CB4A1A1-16AB-4C83-BACD-F3A53C8FD54C}" destId="{FB9C3349-ACC4-4EBE-A35E-B712F87B9E07}" srcOrd="0" destOrd="0" parTransId="{A727C616-791D-4713-89C3-78FB784EBC33}" sibTransId="{EEB446DD-B550-492D-BC8B-D07EDB040C6F}"/>
    <dgm:cxn modelId="{DBF3DDF3-3065-4BB2-AA50-F601518B450A}" srcId="{A95F64AA-628C-42CF-8A6D-D71EEDF4C507}" destId="{E0C48620-7D3B-4F77-81C9-4E0F1087819D}" srcOrd="2" destOrd="0" parTransId="{472D50FA-2890-46DF-A702-5C0BFB72F018}" sibTransId="{E7D27D13-01CF-4DD6-B85E-1E77C2BBBC32}"/>
    <dgm:cxn modelId="{1D0CA9A3-CD98-4B26-8F9C-39502F857888}" type="presOf" srcId="{C98AD379-552D-4091-872B-10CFEE6834B9}" destId="{1FD97440-A4F2-4FE1-903B-F51F75A5684C}" srcOrd="0" destOrd="0" presId="urn:microsoft.com/office/officeart/2008/layout/HorizontalMultiLevelHierarchy#3"/>
    <dgm:cxn modelId="{BF05338E-B8E3-43BB-A265-62F729D7756C}" srcId="{2CB4A1A1-16AB-4C83-BACD-F3A53C8FD54C}" destId="{A95F64AA-628C-42CF-8A6D-D71EEDF4C507}" srcOrd="2" destOrd="0" parTransId="{B0CA86C0-6E0E-4E2F-872A-19A6FB46DBC2}" sibTransId="{3FD25FE6-A19B-4C81-89D3-9CCBA3B2BCC5}"/>
    <dgm:cxn modelId="{1948519F-1ED6-4E1D-86BC-C440212A2E5F}" type="presOf" srcId="{4491538A-6E5E-4015-8FEF-9FB8C5D5F910}" destId="{707E7DA0-CFC9-41E8-8F04-978F33E3EE4C}" srcOrd="1" destOrd="0" presId="urn:microsoft.com/office/officeart/2008/layout/HorizontalMultiLevelHierarchy#3"/>
    <dgm:cxn modelId="{5C9AFDB4-A911-4F14-BD6C-FA64DF845B78}" type="presOf" srcId="{1ECAAFBB-FF29-4F0C-A72D-005F5D6510F1}" destId="{28DE9318-9290-4736-81BE-6093ADE773DC}" srcOrd="0" destOrd="0" presId="urn:microsoft.com/office/officeart/2008/layout/HorizontalMultiLevelHierarchy#3"/>
    <dgm:cxn modelId="{57A32F2B-93EE-44FE-94EF-D29727C77BE8}" type="presOf" srcId="{B8A25564-4CB5-4DE0-B125-60CB44B85BB7}" destId="{28E41196-D885-4731-AD3B-560CC11B1913}" srcOrd="0" destOrd="0" presId="urn:microsoft.com/office/officeart/2008/layout/HorizontalMultiLevelHierarchy#3"/>
    <dgm:cxn modelId="{86FCFB88-A9FC-42A8-BC39-9A4B6479ABDD}" srcId="{1A00BC4D-66EC-42DD-A991-72ABB59756EA}" destId="{9D5F45A0-3AF5-4E50-BEA8-A0B05B63FF6C}" srcOrd="1" destOrd="0" parTransId="{B769577E-894B-4D1C-8797-5AB4BCB44D0A}" sibTransId="{8F114800-D5B5-453C-9ABA-F1E445C9D6E3}"/>
    <dgm:cxn modelId="{9769CEE4-1CC5-45B5-97D6-6415D44664B4}" srcId="{A95F64AA-628C-42CF-8A6D-D71EEDF4C507}" destId="{3824FD8F-7BFD-47A9-84CC-F339F40B455E}" srcOrd="1" destOrd="0" parTransId="{4491538A-6E5E-4015-8FEF-9FB8C5D5F910}" sibTransId="{E85FD2A1-4121-41A4-9D8B-87FD4E7EF66D}"/>
    <dgm:cxn modelId="{F669637B-FBC1-463C-9D23-67693FC0CA62}" type="presOf" srcId="{B0CA86C0-6E0E-4E2F-872A-19A6FB46DBC2}" destId="{5A00D8D0-253F-4EED-8593-302BE8B4D9F9}" srcOrd="0" destOrd="0" presId="urn:microsoft.com/office/officeart/2008/layout/HorizontalMultiLevelHierarchy#3"/>
    <dgm:cxn modelId="{1189077F-2753-4B00-9308-931EA6D957AB}" type="presOf" srcId="{A727C616-791D-4713-89C3-78FB784EBC33}" destId="{E8AE1A7C-5F86-4687-AA9E-6B3415EF03B5}" srcOrd="0" destOrd="0" presId="urn:microsoft.com/office/officeart/2008/layout/HorizontalMultiLevelHierarchy#3"/>
    <dgm:cxn modelId="{73ABDB69-0035-4BA2-BE57-36C9AE341680}" type="presOf" srcId="{9D5F45A0-3AF5-4E50-BEA8-A0B05B63FF6C}" destId="{20747498-02E5-45C3-9D7B-E3DEDF0B71A9}" srcOrd="0" destOrd="0" presId="urn:microsoft.com/office/officeart/2008/layout/HorizontalMultiLevelHierarchy#3"/>
    <dgm:cxn modelId="{A2A1F119-64BC-4CEA-8D0E-AACDE1375404}" type="presOf" srcId="{A727C616-791D-4713-89C3-78FB784EBC33}" destId="{8163BEF1-42B0-463F-817B-6D60951B62E1}" srcOrd="1" destOrd="0" presId="urn:microsoft.com/office/officeart/2008/layout/HorizontalMultiLevelHierarchy#3"/>
    <dgm:cxn modelId="{A564E356-7BF1-4D8B-B04F-1C397A7D3509}" type="presOf" srcId="{2CB4A1A1-16AB-4C83-BACD-F3A53C8FD54C}" destId="{C2E95261-E3E4-4873-900F-8250DB9008BC}" srcOrd="0" destOrd="0" presId="urn:microsoft.com/office/officeart/2008/layout/HorizontalMultiLevelHierarchy#3"/>
    <dgm:cxn modelId="{BBC07F31-6043-44AB-A306-89043D26A53A}" type="presOf" srcId="{8E5B4E27-7F22-492D-8787-78975199ECB4}" destId="{7F79F224-4725-4EF8-969B-FEC41F207310}" srcOrd="1" destOrd="0" presId="urn:microsoft.com/office/officeart/2008/layout/HorizontalMultiLevelHierarchy#3"/>
    <dgm:cxn modelId="{DDB09B79-29BC-4BDC-BD62-847A037704EC}" type="presOf" srcId="{324F1724-3987-4853-AE57-99340D6BB19E}" destId="{232B4E64-0738-48AC-9230-59DE21EE472D}" srcOrd="0" destOrd="0" presId="urn:microsoft.com/office/officeart/2008/layout/HorizontalMultiLevelHierarchy#3"/>
    <dgm:cxn modelId="{84A46D71-AE7C-4525-ADBB-FC05743201ED}" type="presOf" srcId="{1EA8593A-ACF6-4DC2-B8E2-1564984DB181}" destId="{9289DA1A-571B-4331-AC42-2C39FDE7B28C}" srcOrd="0" destOrd="0" presId="urn:microsoft.com/office/officeart/2008/layout/HorizontalMultiLevelHierarchy#3"/>
    <dgm:cxn modelId="{52298A74-23A7-45FD-B486-997EE4CB5A47}" type="presOf" srcId="{1ECAAFBB-FF29-4F0C-A72D-005F5D6510F1}" destId="{5347C039-BA62-496C-A8F2-89185B897860}" srcOrd="1" destOrd="0" presId="urn:microsoft.com/office/officeart/2008/layout/HorizontalMultiLevelHierarchy#3"/>
    <dgm:cxn modelId="{2E2A2056-8F7E-4489-AAE4-12102E5B47DA}" srcId="{1A00BC4D-66EC-42DD-A991-72ABB59756EA}" destId="{0BF6C0F2-72EE-4A6A-BD72-EBCBC393E042}" srcOrd="2" destOrd="0" parTransId="{4E6AD1F9-61DB-4F55-9CCF-E52EAFCC256F}" sibTransId="{FF4A1E25-1766-4107-A481-6DF1FC68D600}"/>
    <dgm:cxn modelId="{21ECF6C4-384F-4445-B73F-905B4B6C56D6}" type="presOf" srcId="{3824FD8F-7BFD-47A9-84CC-F339F40B455E}" destId="{7091C208-D7FB-41D1-B1E9-8DFEA0A314C2}" srcOrd="0" destOrd="0" presId="urn:microsoft.com/office/officeart/2008/layout/HorizontalMultiLevelHierarchy#3"/>
    <dgm:cxn modelId="{74FF13DF-FCA6-40CB-8D93-BDE35FF599D9}" type="presOf" srcId="{1A00BC4D-66EC-42DD-A991-72ABB59756EA}" destId="{2F2BBDA6-C3CA-4BD3-B789-8DAF6B3516C3}" srcOrd="0" destOrd="0" presId="urn:microsoft.com/office/officeart/2008/layout/HorizontalMultiLevelHierarchy#3"/>
    <dgm:cxn modelId="{AED7484B-98C5-4BC9-9346-3E38FED0C1B6}" type="presOf" srcId="{F0521F29-616B-4CB6-B4EE-1092BB85C512}" destId="{6E2D01D8-56AB-483A-B3F6-ECA3DA14C744}" srcOrd="0" destOrd="0" presId="urn:microsoft.com/office/officeart/2008/layout/HorizontalMultiLevelHierarchy#3"/>
    <dgm:cxn modelId="{5D9600A3-3AE5-447D-A172-8B5DC8DDC647}" type="presOf" srcId="{D9200963-0CFA-4BE9-8296-898BDD7A04B5}" destId="{597DC6C0-E7DD-4ADA-B1D3-91205B9D492A}" srcOrd="0" destOrd="0" presId="urn:microsoft.com/office/officeart/2008/layout/HorizontalMultiLevelHierarchy#3"/>
    <dgm:cxn modelId="{089F45B5-E624-48C0-9103-5BEB1271E4CE}" type="presOf" srcId="{8E5B4E27-7F22-492D-8787-78975199ECB4}" destId="{61D25C78-5DE3-4E72-A323-96B49B078ACF}" srcOrd="0" destOrd="0" presId="urn:microsoft.com/office/officeart/2008/layout/HorizontalMultiLevelHierarchy#3"/>
    <dgm:cxn modelId="{F755530B-226F-4A9F-9660-5E836A586802}" type="presOf" srcId="{4E6AD1F9-61DB-4F55-9CCF-E52EAFCC256F}" destId="{DCDF9066-4818-4825-83CF-7F825D9F0454}" srcOrd="0" destOrd="0" presId="urn:microsoft.com/office/officeart/2008/layout/HorizontalMultiLevelHierarchy#3"/>
    <dgm:cxn modelId="{054DD958-8B99-4CAE-85C6-D74C6DCA434E}" type="presOf" srcId="{472D50FA-2890-46DF-A702-5C0BFB72F018}" destId="{67B8BDCE-B1EB-4D1E-9093-A56E1FBC32A5}" srcOrd="1" destOrd="0" presId="urn:microsoft.com/office/officeart/2008/layout/HorizontalMultiLevelHierarchy#3"/>
    <dgm:cxn modelId="{CB4C5B85-F886-409E-9C88-C46E0D65513C}" type="presOf" srcId="{E0C48620-7D3B-4F77-81C9-4E0F1087819D}" destId="{8B57E505-37EE-4DF9-9FB7-DD522E90F66A}" srcOrd="0" destOrd="0" presId="urn:microsoft.com/office/officeart/2008/layout/HorizontalMultiLevelHierarchy#3"/>
    <dgm:cxn modelId="{3D656AF3-3106-48CE-9FAA-22BA450290FB}" srcId="{FB9C3349-ACC4-4EBE-A35E-B712F87B9E07}" destId="{8EB7BAA3-7459-43FA-B1F7-85752EAF611D}" srcOrd="2" destOrd="0" parTransId="{8E5B4E27-7F22-492D-8787-78975199ECB4}" sibTransId="{48563023-F8A0-47E1-AC0A-C6ADF56BA372}"/>
    <dgm:cxn modelId="{653225F7-1024-4093-8CE3-18113C8D5816}" srcId="{1A00BC4D-66EC-42DD-A991-72ABB59756EA}" destId="{324F1724-3987-4853-AE57-99340D6BB19E}" srcOrd="0" destOrd="0" parTransId="{1ECAAFBB-FF29-4F0C-A72D-005F5D6510F1}" sibTransId="{407839D9-50E1-48EC-B55C-CB02186BBFBA}"/>
    <dgm:cxn modelId="{3AF44ED0-6B0C-43C7-BF33-A47587E6179C}" type="presOf" srcId="{2950A62F-F9BE-46C9-A9B8-FC315980D89A}" destId="{87BE7787-80A4-476A-B85E-C592121596C5}" srcOrd="0" destOrd="0" presId="urn:microsoft.com/office/officeart/2008/layout/HorizontalMultiLevelHierarchy#3"/>
    <dgm:cxn modelId="{80DC4012-B82F-44F2-9521-8A305416E483}" type="presOf" srcId="{4E6AD1F9-61DB-4F55-9CCF-E52EAFCC256F}" destId="{FF248FFA-4C68-4179-BC2A-61781CB03F33}" srcOrd="1" destOrd="0" presId="urn:microsoft.com/office/officeart/2008/layout/HorizontalMultiLevelHierarchy#3"/>
    <dgm:cxn modelId="{A8C917C0-7346-45A3-ADA1-3872DCFA696E}" srcId="{FB9C3349-ACC4-4EBE-A35E-B712F87B9E07}" destId="{2950A62F-F9BE-46C9-A9B8-FC315980D89A}" srcOrd="1" destOrd="0" parTransId="{B8A25564-4CB5-4DE0-B125-60CB44B85BB7}" sibTransId="{DFAB127C-4FC0-40DA-B06B-3843C01DC911}"/>
    <dgm:cxn modelId="{33E73B5F-9785-4F43-A40A-C8C8215809F0}" type="presOf" srcId="{05A55D8C-D6E1-4E64-A925-0ACC319B8E0E}" destId="{C7334CB2-05C4-4BD1-84D0-6496CEAE5B34}" srcOrd="0" destOrd="0" presId="urn:microsoft.com/office/officeart/2008/layout/HorizontalMultiLevelHierarchy#3"/>
    <dgm:cxn modelId="{6FF81411-B5CC-4B13-8D5D-5D79EC7DA676}" type="presOf" srcId="{B8A25564-4CB5-4DE0-B125-60CB44B85BB7}" destId="{7FF70712-EA94-4261-AA86-8CAF74DFA576}" srcOrd="1" destOrd="0" presId="urn:microsoft.com/office/officeart/2008/layout/HorizontalMultiLevelHierarchy#3"/>
    <dgm:cxn modelId="{186B5E5D-E787-4428-8031-8642AB68364D}" srcId="{A95F64AA-628C-42CF-8A6D-D71EEDF4C507}" destId="{D9200963-0CFA-4BE9-8296-898BDD7A04B5}" srcOrd="0" destOrd="0" parTransId="{05A55D8C-D6E1-4E64-A925-0ACC319B8E0E}" sibTransId="{71A4F246-6F59-49F3-B843-954708B08B69}"/>
    <dgm:cxn modelId="{B4934D93-E998-4BA6-A9FB-CC6BC62CD4B0}" type="presOf" srcId="{4491538A-6E5E-4015-8FEF-9FB8C5D5F910}" destId="{5AD4B2C1-3453-419D-8F2D-1DA834866895}" srcOrd="0" destOrd="0" presId="urn:microsoft.com/office/officeart/2008/layout/HorizontalMultiLevelHierarchy#3"/>
    <dgm:cxn modelId="{4994B4AF-C5A5-4997-8D27-A65BCA8FBD6C}" srcId="{2CB4A1A1-16AB-4C83-BACD-F3A53C8FD54C}" destId="{1A00BC4D-66EC-42DD-A991-72ABB59756EA}" srcOrd="1" destOrd="0" parTransId="{F0521F29-616B-4CB6-B4EE-1092BB85C512}" sibTransId="{A779F294-1ECC-4743-A4F1-5BCED8F6EA13}"/>
    <dgm:cxn modelId="{018102CC-64DA-43D1-B61B-F5B4C0DF5EF8}" type="presOf" srcId="{559DE539-439F-4012-A8C4-790B77C72285}" destId="{5B293E58-F79D-478F-9871-A21FD829F835}" srcOrd="0" destOrd="0" presId="urn:microsoft.com/office/officeart/2008/layout/HorizontalMultiLevelHierarchy#3"/>
    <dgm:cxn modelId="{0DDE5D1C-085B-41EC-88AF-A83EC315FCB5}" type="presOf" srcId="{B0CA86C0-6E0E-4E2F-872A-19A6FB46DBC2}" destId="{52540805-55A0-4B03-A80C-7D7A5C7A55FC}" srcOrd="1" destOrd="0" presId="urn:microsoft.com/office/officeart/2008/layout/HorizontalMultiLevelHierarchy#3"/>
    <dgm:cxn modelId="{E85CD03B-F0D0-49AE-BE2A-6E7D0DBEA233}" srcId="{C98AD379-552D-4091-872B-10CFEE6834B9}" destId="{2CB4A1A1-16AB-4C83-BACD-F3A53C8FD54C}" srcOrd="0" destOrd="0" parTransId="{935492AA-4980-4FC2-AB60-D7B2F41AF654}" sibTransId="{89F55F00-A72D-41A6-BE51-52C75EC91FE7}"/>
    <dgm:cxn modelId="{B476153D-F04B-46B9-9396-A2086FCEBD44}" type="presOf" srcId="{A95F64AA-628C-42CF-8A6D-D71EEDF4C507}" destId="{7C943DDB-028A-47C5-8077-7B89C73F23B6}" srcOrd="0" destOrd="0" presId="urn:microsoft.com/office/officeart/2008/layout/HorizontalMultiLevelHierarchy#3"/>
    <dgm:cxn modelId="{5041415A-0898-453C-A63D-F85CCCFEAEB6}" type="presOf" srcId="{472D50FA-2890-46DF-A702-5C0BFB72F018}" destId="{7F36E62D-6FB9-4A3D-B728-5A5271C81BC6}" srcOrd="0" destOrd="0" presId="urn:microsoft.com/office/officeart/2008/layout/HorizontalMultiLevelHierarchy#3"/>
    <dgm:cxn modelId="{3ADCAECC-8A70-4CE5-871D-35EFBD857424}" type="presOf" srcId="{0BF6C0F2-72EE-4A6A-BD72-EBCBC393E042}" destId="{889A7331-154B-4CEB-AA93-1F8D89E48C0D}" srcOrd="0" destOrd="0" presId="urn:microsoft.com/office/officeart/2008/layout/HorizontalMultiLevelHierarchy#3"/>
    <dgm:cxn modelId="{F2D0B4DB-97C0-4780-9EC9-01B0EC27320C}" type="presOf" srcId="{F0521F29-616B-4CB6-B4EE-1092BB85C512}" destId="{73210F8D-FA3F-4DCD-AE69-53220920CEF9}" srcOrd="1" destOrd="0" presId="urn:microsoft.com/office/officeart/2008/layout/HorizontalMultiLevelHierarchy#3"/>
    <dgm:cxn modelId="{7956B39E-6C95-4AF4-8A52-347FBC95A904}" srcId="{FB9C3349-ACC4-4EBE-A35E-B712F87B9E07}" destId="{1EA8593A-ACF6-4DC2-B8E2-1564984DB181}" srcOrd="0" destOrd="0" parTransId="{559DE539-439F-4012-A8C4-790B77C72285}" sibTransId="{9D71399F-45BB-42C8-AA52-82A278B942C9}"/>
    <dgm:cxn modelId="{91781930-7E7A-47FA-AE81-270DB2EA0933}" type="presOf" srcId="{8EB7BAA3-7459-43FA-B1F7-85752EAF611D}" destId="{176A98B6-F380-429D-A7AA-D33CD877A834}" srcOrd="0" destOrd="0" presId="urn:microsoft.com/office/officeart/2008/layout/HorizontalMultiLevelHierarchy#3"/>
    <dgm:cxn modelId="{F5F0A07D-9272-484F-8536-8F6B08E42B5D}" type="presOf" srcId="{B769577E-894B-4D1C-8797-5AB4BCB44D0A}" destId="{E2ED22A1-C621-4B09-8735-02B12EEA9B8E}" srcOrd="1" destOrd="0" presId="urn:microsoft.com/office/officeart/2008/layout/HorizontalMultiLevelHierarchy#3"/>
    <dgm:cxn modelId="{774C8AE9-BE12-4992-9D3D-9D2F5D8EF6E1}" type="presParOf" srcId="{1FD97440-A4F2-4FE1-903B-F51F75A5684C}" destId="{AB615CB2-E33A-48E6-9DDE-96FFF00DC80A}" srcOrd="0" destOrd="0" presId="urn:microsoft.com/office/officeart/2008/layout/HorizontalMultiLevelHierarchy#3"/>
    <dgm:cxn modelId="{6ED5ED96-E5A0-4D26-8453-851186FE6256}" type="presParOf" srcId="{AB615CB2-E33A-48E6-9DDE-96FFF00DC80A}" destId="{C2E95261-E3E4-4873-900F-8250DB9008BC}" srcOrd="0" destOrd="0" presId="urn:microsoft.com/office/officeart/2008/layout/HorizontalMultiLevelHierarchy#3"/>
    <dgm:cxn modelId="{CD135916-C620-40CF-B570-43739F9C535E}" type="presParOf" srcId="{AB615CB2-E33A-48E6-9DDE-96FFF00DC80A}" destId="{F731168D-28A0-4C39-AB89-600774C3E35F}" srcOrd="1" destOrd="0" presId="urn:microsoft.com/office/officeart/2008/layout/HorizontalMultiLevelHierarchy#3"/>
    <dgm:cxn modelId="{8AC84AEF-6C17-4631-ABF5-9E0396E4AB21}" type="presParOf" srcId="{F731168D-28A0-4C39-AB89-600774C3E35F}" destId="{E8AE1A7C-5F86-4687-AA9E-6B3415EF03B5}" srcOrd="0" destOrd="0" presId="urn:microsoft.com/office/officeart/2008/layout/HorizontalMultiLevelHierarchy#3"/>
    <dgm:cxn modelId="{5C183EC9-B653-4863-B068-E0EC03D09AC4}" type="presParOf" srcId="{E8AE1A7C-5F86-4687-AA9E-6B3415EF03B5}" destId="{8163BEF1-42B0-463F-817B-6D60951B62E1}" srcOrd="0" destOrd="0" presId="urn:microsoft.com/office/officeart/2008/layout/HorizontalMultiLevelHierarchy#3"/>
    <dgm:cxn modelId="{B7014F4B-48D0-4B1B-866F-16B59AE550A3}" type="presParOf" srcId="{F731168D-28A0-4C39-AB89-600774C3E35F}" destId="{F13E6170-C162-4E8E-BAA0-4313016D5790}" srcOrd="1" destOrd="0" presId="urn:microsoft.com/office/officeart/2008/layout/HorizontalMultiLevelHierarchy#3"/>
    <dgm:cxn modelId="{ACC99846-8475-468A-AE34-296E3F3DD6B6}" type="presParOf" srcId="{F13E6170-C162-4E8E-BAA0-4313016D5790}" destId="{C4028277-E0E3-4082-B82C-01EC25B2B779}" srcOrd="0" destOrd="0" presId="urn:microsoft.com/office/officeart/2008/layout/HorizontalMultiLevelHierarchy#3"/>
    <dgm:cxn modelId="{9F492EC9-BAAD-40C7-BE3D-053BBB427EFA}" type="presParOf" srcId="{F13E6170-C162-4E8E-BAA0-4313016D5790}" destId="{AD756EC5-9163-4AE0-BDA1-CB4747845097}" srcOrd="1" destOrd="0" presId="urn:microsoft.com/office/officeart/2008/layout/HorizontalMultiLevelHierarchy#3"/>
    <dgm:cxn modelId="{61185B6F-CA68-48EE-B65C-AD038445C41F}" type="presParOf" srcId="{AD756EC5-9163-4AE0-BDA1-CB4747845097}" destId="{5B293E58-F79D-478F-9871-A21FD829F835}" srcOrd="0" destOrd="0" presId="urn:microsoft.com/office/officeart/2008/layout/HorizontalMultiLevelHierarchy#3"/>
    <dgm:cxn modelId="{E48C670F-4B57-432C-AC52-664CDC108B15}" type="presParOf" srcId="{5B293E58-F79D-478F-9871-A21FD829F835}" destId="{512EAC4A-FE39-428F-BBB6-3938E782A291}" srcOrd="0" destOrd="0" presId="urn:microsoft.com/office/officeart/2008/layout/HorizontalMultiLevelHierarchy#3"/>
    <dgm:cxn modelId="{28892B86-FF61-4FEC-B223-D3C44DDD2DC9}" type="presParOf" srcId="{AD756EC5-9163-4AE0-BDA1-CB4747845097}" destId="{31360EF0-6CDC-43BD-A9FD-2B97DCED2DF8}" srcOrd="1" destOrd="0" presId="urn:microsoft.com/office/officeart/2008/layout/HorizontalMultiLevelHierarchy#3"/>
    <dgm:cxn modelId="{FD139265-23D0-4B76-B0DB-EF81C7F04DAD}" type="presParOf" srcId="{31360EF0-6CDC-43BD-A9FD-2B97DCED2DF8}" destId="{9289DA1A-571B-4331-AC42-2C39FDE7B28C}" srcOrd="0" destOrd="0" presId="urn:microsoft.com/office/officeart/2008/layout/HorizontalMultiLevelHierarchy#3"/>
    <dgm:cxn modelId="{6281254B-A856-4037-92E6-E989815FA200}" type="presParOf" srcId="{31360EF0-6CDC-43BD-A9FD-2B97DCED2DF8}" destId="{AA9F503D-4BAA-44D9-B24D-8A648A7941A7}" srcOrd="1" destOrd="0" presId="urn:microsoft.com/office/officeart/2008/layout/HorizontalMultiLevelHierarchy#3"/>
    <dgm:cxn modelId="{6BCEE179-7D75-4597-9CD5-F9A011F0768A}" type="presParOf" srcId="{AD756EC5-9163-4AE0-BDA1-CB4747845097}" destId="{28E41196-D885-4731-AD3B-560CC11B1913}" srcOrd="2" destOrd="0" presId="urn:microsoft.com/office/officeart/2008/layout/HorizontalMultiLevelHierarchy#3"/>
    <dgm:cxn modelId="{55895BCE-A10B-4051-ACD1-88246CD17A21}" type="presParOf" srcId="{28E41196-D885-4731-AD3B-560CC11B1913}" destId="{7FF70712-EA94-4261-AA86-8CAF74DFA576}" srcOrd="0" destOrd="0" presId="urn:microsoft.com/office/officeart/2008/layout/HorizontalMultiLevelHierarchy#3"/>
    <dgm:cxn modelId="{58B9980C-AB80-483D-8F6D-375B81C48522}" type="presParOf" srcId="{AD756EC5-9163-4AE0-BDA1-CB4747845097}" destId="{02915431-F7BB-4FA4-A783-23FA80F49E40}" srcOrd="3" destOrd="0" presId="urn:microsoft.com/office/officeart/2008/layout/HorizontalMultiLevelHierarchy#3"/>
    <dgm:cxn modelId="{49B9A85A-0A7C-48E4-96AE-5B8EAF018C73}" type="presParOf" srcId="{02915431-F7BB-4FA4-A783-23FA80F49E40}" destId="{87BE7787-80A4-476A-B85E-C592121596C5}" srcOrd="0" destOrd="0" presId="urn:microsoft.com/office/officeart/2008/layout/HorizontalMultiLevelHierarchy#3"/>
    <dgm:cxn modelId="{C0BB1821-825B-43E2-9224-1D6F8F73E1B9}" type="presParOf" srcId="{02915431-F7BB-4FA4-A783-23FA80F49E40}" destId="{63F99E46-970A-4EED-94F6-6EFB9B07C556}" srcOrd="1" destOrd="0" presId="urn:microsoft.com/office/officeart/2008/layout/HorizontalMultiLevelHierarchy#3"/>
    <dgm:cxn modelId="{7EA1AE0A-E5C0-436A-AF55-AC943C48CDC1}" type="presParOf" srcId="{AD756EC5-9163-4AE0-BDA1-CB4747845097}" destId="{61D25C78-5DE3-4E72-A323-96B49B078ACF}" srcOrd="4" destOrd="0" presId="urn:microsoft.com/office/officeart/2008/layout/HorizontalMultiLevelHierarchy#3"/>
    <dgm:cxn modelId="{7F7CABFC-22DF-4A69-B454-CC2D8F2D04B1}" type="presParOf" srcId="{61D25C78-5DE3-4E72-A323-96B49B078ACF}" destId="{7F79F224-4725-4EF8-969B-FEC41F207310}" srcOrd="0" destOrd="0" presId="urn:microsoft.com/office/officeart/2008/layout/HorizontalMultiLevelHierarchy#3"/>
    <dgm:cxn modelId="{69D2D3A3-570F-4632-A06B-33EB9A0DC3AB}" type="presParOf" srcId="{AD756EC5-9163-4AE0-BDA1-CB4747845097}" destId="{F806ED50-A036-4F59-8823-E65959F549AD}" srcOrd="5" destOrd="0" presId="urn:microsoft.com/office/officeart/2008/layout/HorizontalMultiLevelHierarchy#3"/>
    <dgm:cxn modelId="{286E10D5-8D3A-44D1-BB09-A02EDC0EF91A}" type="presParOf" srcId="{F806ED50-A036-4F59-8823-E65959F549AD}" destId="{176A98B6-F380-429D-A7AA-D33CD877A834}" srcOrd="0" destOrd="0" presId="urn:microsoft.com/office/officeart/2008/layout/HorizontalMultiLevelHierarchy#3"/>
    <dgm:cxn modelId="{659479C6-69CF-43A9-8E0F-67026F14B116}" type="presParOf" srcId="{F806ED50-A036-4F59-8823-E65959F549AD}" destId="{B9D94D25-73E5-4F5B-B097-F8EFDE152E5A}" srcOrd="1" destOrd="0" presId="urn:microsoft.com/office/officeart/2008/layout/HorizontalMultiLevelHierarchy#3"/>
    <dgm:cxn modelId="{D5533E21-E2A2-41AD-9276-DC51D1B70A75}" type="presParOf" srcId="{F731168D-28A0-4C39-AB89-600774C3E35F}" destId="{6E2D01D8-56AB-483A-B3F6-ECA3DA14C744}" srcOrd="2" destOrd="0" presId="urn:microsoft.com/office/officeart/2008/layout/HorizontalMultiLevelHierarchy#3"/>
    <dgm:cxn modelId="{14BC7BE8-6BC8-4850-AF09-EF81B858B48D}" type="presParOf" srcId="{6E2D01D8-56AB-483A-B3F6-ECA3DA14C744}" destId="{73210F8D-FA3F-4DCD-AE69-53220920CEF9}" srcOrd="0" destOrd="0" presId="urn:microsoft.com/office/officeart/2008/layout/HorizontalMultiLevelHierarchy#3"/>
    <dgm:cxn modelId="{9D296CBA-B206-4511-9059-66A418CEF35C}" type="presParOf" srcId="{F731168D-28A0-4C39-AB89-600774C3E35F}" destId="{F38B2407-6E95-405F-B7F8-D92100453810}" srcOrd="3" destOrd="0" presId="urn:microsoft.com/office/officeart/2008/layout/HorizontalMultiLevelHierarchy#3"/>
    <dgm:cxn modelId="{FCB4623F-94B3-4ABB-B691-591236D3F16E}" type="presParOf" srcId="{F38B2407-6E95-405F-B7F8-D92100453810}" destId="{2F2BBDA6-C3CA-4BD3-B789-8DAF6B3516C3}" srcOrd="0" destOrd="0" presId="urn:microsoft.com/office/officeart/2008/layout/HorizontalMultiLevelHierarchy#3"/>
    <dgm:cxn modelId="{9CE42651-D96D-4AA8-AE90-38887731F7C3}" type="presParOf" srcId="{F38B2407-6E95-405F-B7F8-D92100453810}" destId="{F903FF92-D3E7-40BE-AB33-9B90952987F5}" srcOrd="1" destOrd="0" presId="urn:microsoft.com/office/officeart/2008/layout/HorizontalMultiLevelHierarchy#3"/>
    <dgm:cxn modelId="{7110C8A6-B118-49B6-9160-630724F9952A}" type="presParOf" srcId="{F903FF92-D3E7-40BE-AB33-9B90952987F5}" destId="{28DE9318-9290-4736-81BE-6093ADE773DC}" srcOrd="0" destOrd="0" presId="urn:microsoft.com/office/officeart/2008/layout/HorizontalMultiLevelHierarchy#3"/>
    <dgm:cxn modelId="{DF4E1B57-26CF-419C-B226-9D7C2EE8196F}" type="presParOf" srcId="{28DE9318-9290-4736-81BE-6093ADE773DC}" destId="{5347C039-BA62-496C-A8F2-89185B897860}" srcOrd="0" destOrd="0" presId="urn:microsoft.com/office/officeart/2008/layout/HorizontalMultiLevelHierarchy#3"/>
    <dgm:cxn modelId="{0AAC8DA8-CADC-4AEC-A96D-45BC23A93DAB}" type="presParOf" srcId="{F903FF92-D3E7-40BE-AB33-9B90952987F5}" destId="{C4C9417B-E1DB-4101-809A-9C1E0E68A157}" srcOrd="1" destOrd="0" presId="urn:microsoft.com/office/officeart/2008/layout/HorizontalMultiLevelHierarchy#3"/>
    <dgm:cxn modelId="{A6551703-5498-44CF-A19D-DC2F7D6C946A}" type="presParOf" srcId="{C4C9417B-E1DB-4101-809A-9C1E0E68A157}" destId="{232B4E64-0738-48AC-9230-59DE21EE472D}" srcOrd="0" destOrd="0" presId="urn:microsoft.com/office/officeart/2008/layout/HorizontalMultiLevelHierarchy#3"/>
    <dgm:cxn modelId="{C156CDF9-DA38-43C9-84D3-9433024EB439}" type="presParOf" srcId="{C4C9417B-E1DB-4101-809A-9C1E0E68A157}" destId="{0EF3A337-4FA3-414F-A186-42C19380A586}" srcOrd="1" destOrd="0" presId="urn:microsoft.com/office/officeart/2008/layout/HorizontalMultiLevelHierarchy#3"/>
    <dgm:cxn modelId="{E3203FAA-9BA2-47E8-BC4F-B1D1E1CA86CD}" type="presParOf" srcId="{F903FF92-D3E7-40BE-AB33-9B90952987F5}" destId="{CB79D646-584A-411C-A899-BFE97D205E93}" srcOrd="2" destOrd="0" presId="urn:microsoft.com/office/officeart/2008/layout/HorizontalMultiLevelHierarchy#3"/>
    <dgm:cxn modelId="{1C0D9B4E-8B01-45CC-962E-BE40ECE6C450}" type="presParOf" srcId="{CB79D646-584A-411C-A899-BFE97D205E93}" destId="{E2ED22A1-C621-4B09-8735-02B12EEA9B8E}" srcOrd="0" destOrd="0" presId="urn:microsoft.com/office/officeart/2008/layout/HorizontalMultiLevelHierarchy#3"/>
    <dgm:cxn modelId="{F1486093-EF13-4CBC-8841-877D115A30E8}" type="presParOf" srcId="{F903FF92-D3E7-40BE-AB33-9B90952987F5}" destId="{D28200D0-9916-45F7-BFE1-1D922028DF93}" srcOrd="3" destOrd="0" presId="urn:microsoft.com/office/officeart/2008/layout/HorizontalMultiLevelHierarchy#3"/>
    <dgm:cxn modelId="{1BE3589E-FF66-4DBE-9C4B-E521B8763296}" type="presParOf" srcId="{D28200D0-9916-45F7-BFE1-1D922028DF93}" destId="{20747498-02E5-45C3-9D7B-E3DEDF0B71A9}" srcOrd="0" destOrd="0" presId="urn:microsoft.com/office/officeart/2008/layout/HorizontalMultiLevelHierarchy#3"/>
    <dgm:cxn modelId="{566867A1-60C4-4AC1-9016-CBB2070B5AAF}" type="presParOf" srcId="{D28200D0-9916-45F7-BFE1-1D922028DF93}" destId="{CD33773E-DA4E-46F1-A0B1-F0C0C07A0999}" srcOrd="1" destOrd="0" presId="urn:microsoft.com/office/officeart/2008/layout/HorizontalMultiLevelHierarchy#3"/>
    <dgm:cxn modelId="{3B5FFC20-E8A0-406F-9A22-9634F93FA455}" type="presParOf" srcId="{F903FF92-D3E7-40BE-AB33-9B90952987F5}" destId="{DCDF9066-4818-4825-83CF-7F825D9F0454}" srcOrd="4" destOrd="0" presId="urn:microsoft.com/office/officeart/2008/layout/HorizontalMultiLevelHierarchy#3"/>
    <dgm:cxn modelId="{28663853-0C9E-4A9A-86E7-775A8C2402CF}" type="presParOf" srcId="{DCDF9066-4818-4825-83CF-7F825D9F0454}" destId="{FF248FFA-4C68-4179-BC2A-61781CB03F33}" srcOrd="0" destOrd="0" presId="urn:microsoft.com/office/officeart/2008/layout/HorizontalMultiLevelHierarchy#3"/>
    <dgm:cxn modelId="{AAFD3831-B22B-4574-925C-43E45EDCF02C}" type="presParOf" srcId="{F903FF92-D3E7-40BE-AB33-9B90952987F5}" destId="{65FC40E5-0738-4451-8AD9-0433E936E9F7}" srcOrd="5" destOrd="0" presId="urn:microsoft.com/office/officeart/2008/layout/HorizontalMultiLevelHierarchy#3"/>
    <dgm:cxn modelId="{47E4828D-744A-472F-89B7-0E83418D1A17}" type="presParOf" srcId="{65FC40E5-0738-4451-8AD9-0433E936E9F7}" destId="{889A7331-154B-4CEB-AA93-1F8D89E48C0D}" srcOrd="0" destOrd="0" presId="urn:microsoft.com/office/officeart/2008/layout/HorizontalMultiLevelHierarchy#3"/>
    <dgm:cxn modelId="{B1329CFB-6AAF-498A-A2B6-7506EF6ED2F1}" type="presParOf" srcId="{65FC40E5-0738-4451-8AD9-0433E936E9F7}" destId="{A73AA478-7EC5-4B3B-BE90-1DCA6491C9BB}" srcOrd="1" destOrd="0" presId="urn:microsoft.com/office/officeart/2008/layout/HorizontalMultiLevelHierarchy#3"/>
    <dgm:cxn modelId="{AC3F488C-7290-4424-9996-BD5776B159C2}" type="presParOf" srcId="{F731168D-28A0-4C39-AB89-600774C3E35F}" destId="{5A00D8D0-253F-4EED-8593-302BE8B4D9F9}" srcOrd="4" destOrd="0" presId="urn:microsoft.com/office/officeart/2008/layout/HorizontalMultiLevelHierarchy#3"/>
    <dgm:cxn modelId="{9891CC1F-94FB-485B-900A-8B5F5FA73454}" type="presParOf" srcId="{5A00D8D0-253F-4EED-8593-302BE8B4D9F9}" destId="{52540805-55A0-4B03-A80C-7D7A5C7A55FC}" srcOrd="0" destOrd="0" presId="urn:microsoft.com/office/officeart/2008/layout/HorizontalMultiLevelHierarchy#3"/>
    <dgm:cxn modelId="{EF1519CF-0CD4-443E-B1FF-B122C54F2D98}" type="presParOf" srcId="{F731168D-28A0-4C39-AB89-600774C3E35F}" destId="{5659BCBA-C167-4876-B9AA-D268E5054A5C}" srcOrd="5" destOrd="0" presId="urn:microsoft.com/office/officeart/2008/layout/HorizontalMultiLevelHierarchy#3"/>
    <dgm:cxn modelId="{AF848799-5119-4F19-A64E-6DE40390FA94}" type="presParOf" srcId="{5659BCBA-C167-4876-B9AA-D268E5054A5C}" destId="{7C943DDB-028A-47C5-8077-7B89C73F23B6}" srcOrd="0" destOrd="0" presId="urn:microsoft.com/office/officeart/2008/layout/HorizontalMultiLevelHierarchy#3"/>
    <dgm:cxn modelId="{164BBDCF-CF56-4458-9A70-D3761B20A6E3}" type="presParOf" srcId="{5659BCBA-C167-4876-B9AA-D268E5054A5C}" destId="{31275501-697C-4348-B87C-96D09A955E52}" srcOrd="1" destOrd="0" presId="urn:microsoft.com/office/officeart/2008/layout/HorizontalMultiLevelHierarchy#3"/>
    <dgm:cxn modelId="{6E1645CE-14DE-4675-8B66-9DAC6E655045}" type="presParOf" srcId="{31275501-697C-4348-B87C-96D09A955E52}" destId="{C7334CB2-05C4-4BD1-84D0-6496CEAE5B34}" srcOrd="0" destOrd="0" presId="urn:microsoft.com/office/officeart/2008/layout/HorizontalMultiLevelHierarchy#3"/>
    <dgm:cxn modelId="{7AB8A066-900B-4226-A258-EB9D3559C40A}" type="presParOf" srcId="{C7334CB2-05C4-4BD1-84D0-6496CEAE5B34}" destId="{E5544451-9155-4F9A-BC68-76712480FF9C}" srcOrd="0" destOrd="0" presId="urn:microsoft.com/office/officeart/2008/layout/HorizontalMultiLevelHierarchy#3"/>
    <dgm:cxn modelId="{0DC2D327-3546-493D-9EBA-69C9B53DAFF7}" type="presParOf" srcId="{31275501-697C-4348-B87C-96D09A955E52}" destId="{C7A28972-35C4-4B63-B165-E4E4FB1AE810}" srcOrd="1" destOrd="0" presId="urn:microsoft.com/office/officeart/2008/layout/HorizontalMultiLevelHierarchy#3"/>
    <dgm:cxn modelId="{5BA5F951-5763-418E-B2CA-B9FB387E29D4}" type="presParOf" srcId="{C7A28972-35C4-4B63-B165-E4E4FB1AE810}" destId="{597DC6C0-E7DD-4ADA-B1D3-91205B9D492A}" srcOrd="0" destOrd="0" presId="urn:microsoft.com/office/officeart/2008/layout/HorizontalMultiLevelHierarchy#3"/>
    <dgm:cxn modelId="{122EFFD3-0161-42FE-9FCD-EB49BD0291E4}" type="presParOf" srcId="{C7A28972-35C4-4B63-B165-E4E4FB1AE810}" destId="{0D5B1104-2C6F-42F9-9F39-15A480D65A86}" srcOrd="1" destOrd="0" presId="urn:microsoft.com/office/officeart/2008/layout/HorizontalMultiLevelHierarchy#3"/>
    <dgm:cxn modelId="{0B0A7BEE-8FE2-43BD-B39A-2E698F29E59E}" type="presParOf" srcId="{31275501-697C-4348-B87C-96D09A955E52}" destId="{5AD4B2C1-3453-419D-8F2D-1DA834866895}" srcOrd="2" destOrd="0" presId="urn:microsoft.com/office/officeart/2008/layout/HorizontalMultiLevelHierarchy#3"/>
    <dgm:cxn modelId="{9A171D7E-49BA-4A84-A271-11983595B9BD}" type="presParOf" srcId="{5AD4B2C1-3453-419D-8F2D-1DA834866895}" destId="{707E7DA0-CFC9-41E8-8F04-978F33E3EE4C}" srcOrd="0" destOrd="0" presId="urn:microsoft.com/office/officeart/2008/layout/HorizontalMultiLevelHierarchy#3"/>
    <dgm:cxn modelId="{34F73C42-182E-41C9-ADE5-DECD6DC24335}" type="presParOf" srcId="{31275501-697C-4348-B87C-96D09A955E52}" destId="{9E630434-34B9-4F2D-BF13-81CFAFFC5075}" srcOrd="3" destOrd="0" presId="urn:microsoft.com/office/officeart/2008/layout/HorizontalMultiLevelHierarchy#3"/>
    <dgm:cxn modelId="{A5F64BED-908D-4613-BF57-6EA179FFBB49}" type="presParOf" srcId="{9E630434-34B9-4F2D-BF13-81CFAFFC5075}" destId="{7091C208-D7FB-41D1-B1E9-8DFEA0A314C2}" srcOrd="0" destOrd="0" presId="urn:microsoft.com/office/officeart/2008/layout/HorizontalMultiLevelHierarchy#3"/>
    <dgm:cxn modelId="{93CA707B-A322-4949-B8D8-53196C48A1AD}" type="presParOf" srcId="{9E630434-34B9-4F2D-BF13-81CFAFFC5075}" destId="{97782F78-0187-4D3A-8718-4312B880059B}" srcOrd="1" destOrd="0" presId="urn:microsoft.com/office/officeart/2008/layout/HorizontalMultiLevelHierarchy#3"/>
    <dgm:cxn modelId="{986D4B64-E877-4091-9990-42CBF60B37BA}" type="presParOf" srcId="{31275501-697C-4348-B87C-96D09A955E52}" destId="{7F36E62D-6FB9-4A3D-B728-5A5271C81BC6}" srcOrd="4" destOrd="0" presId="urn:microsoft.com/office/officeart/2008/layout/HorizontalMultiLevelHierarchy#3"/>
    <dgm:cxn modelId="{3A3FE4B8-E467-4BC5-BC04-D4F888A4568E}" type="presParOf" srcId="{7F36E62D-6FB9-4A3D-B728-5A5271C81BC6}" destId="{67B8BDCE-B1EB-4D1E-9093-A56E1FBC32A5}" srcOrd="0" destOrd="0" presId="urn:microsoft.com/office/officeart/2008/layout/HorizontalMultiLevelHierarchy#3"/>
    <dgm:cxn modelId="{E8D9287B-FBE1-4ED2-A21E-94682588B593}" type="presParOf" srcId="{31275501-697C-4348-B87C-96D09A955E52}" destId="{ABF4689F-A999-4208-BF62-68A1E2C237FF}" srcOrd="5" destOrd="0" presId="urn:microsoft.com/office/officeart/2008/layout/HorizontalMultiLevelHierarchy#3"/>
    <dgm:cxn modelId="{44C77A05-B343-462C-9670-CCE86DEC544B}" type="presParOf" srcId="{ABF4689F-A999-4208-BF62-68A1E2C237FF}" destId="{8B57E505-37EE-4DF9-9FB7-DD522E90F66A}" srcOrd="0" destOrd="0" presId="urn:microsoft.com/office/officeart/2008/layout/HorizontalMultiLevelHierarchy#3"/>
    <dgm:cxn modelId="{DF1A7057-9CAE-4513-AEB7-9FB2D083D295}" type="presParOf" srcId="{ABF4689F-A999-4208-BF62-68A1E2C237FF}" destId="{48B7BF21-154F-44A1-93D9-B85996F8489E}" srcOrd="1" destOrd="0" presId="urn:microsoft.com/office/officeart/2008/layout/HorizontalMultiLevelHierarchy#3"/>
  </dgm:cxnLst>
  <dgm:bg/>
  <dgm:whole>
    <a:ln>
      <a:noFill/>
    </a:ln>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6E62D-6FB9-4A3D-B728-5A5271C81BC6}">
      <dsp:nvSpPr>
        <dsp:cNvPr id="0" name=""/>
        <dsp:cNvSpPr/>
      </dsp:nvSpPr>
      <dsp:spPr>
        <a:xfrm>
          <a:off x="2779653" y="3253651"/>
          <a:ext cx="708652" cy="424938"/>
        </a:xfrm>
        <a:custGeom>
          <a:avLst/>
          <a:gdLst/>
          <a:ahLst/>
          <a:cxnLst/>
          <a:rect l="0" t="0" r="0" b="0"/>
          <a:pathLst>
            <a:path>
              <a:moveTo>
                <a:pt x="0" y="0"/>
              </a:moveTo>
              <a:lnTo>
                <a:pt x="354326" y="0"/>
              </a:lnTo>
              <a:lnTo>
                <a:pt x="354326" y="424938"/>
              </a:lnTo>
              <a:lnTo>
                <a:pt x="708652" y="42493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3322" y="3445463"/>
        <a:ext cx="41314" cy="41314"/>
      </dsp:txXfrm>
    </dsp:sp>
    <dsp:sp modelId="{5AD4B2C1-3453-419D-8F2D-1DA834866895}">
      <dsp:nvSpPr>
        <dsp:cNvPr id="0" name=""/>
        <dsp:cNvSpPr/>
      </dsp:nvSpPr>
      <dsp:spPr>
        <a:xfrm>
          <a:off x="2779653" y="3207931"/>
          <a:ext cx="708652" cy="91440"/>
        </a:xfrm>
        <a:custGeom>
          <a:avLst/>
          <a:gdLst/>
          <a:ahLst/>
          <a:cxnLst/>
          <a:rect l="0" t="0" r="0" b="0"/>
          <a:pathLst>
            <a:path>
              <a:moveTo>
                <a:pt x="0" y="45720"/>
              </a:moveTo>
              <a:lnTo>
                <a:pt x="708652"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6263" y="3235935"/>
        <a:ext cx="35432" cy="35432"/>
      </dsp:txXfrm>
    </dsp:sp>
    <dsp:sp modelId="{C7334CB2-05C4-4BD1-84D0-6496CEAE5B34}">
      <dsp:nvSpPr>
        <dsp:cNvPr id="0" name=""/>
        <dsp:cNvSpPr/>
      </dsp:nvSpPr>
      <dsp:spPr>
        <a:xfrm>
          <a:off x="2779653" y="2828712"/>
          <a:ext cx="708652" cy="424938"/>
        </a:xfrm>
        <a:custGeom>
          <a:avLst/>
          <a:gdLst/>
          <a:ahLst/>
          <a:cxnLst/>
          <a:rect l="0" t="0" r="0" b="0"/>
          <a:pathLst>
            <a:path>
              <a:moveTo>
                <a:pt x="0" y="424938"/>
              </a:moveTo>
              <a:lnTo>
                <a:pt x="354326" y="424938"/>
              </a:lnTo>
              <a:lnTo>
                <a:pt x="354326" y="0"/>
              </a:lnTo>
              <a:lnTo>
                <a:pt x="7086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3322" y="3020524"/>
        <a:ext cx="41314" cy="41314"/>
      </dsp:txXfrm>
    </dsp:sp>
    <dsp:sp modelId="{5A00D8D0-253F-4EED-8593-302BE8B4D9F9}">
      <dsp:nvSpPr>
        <dsp:cNvPr id="0" name=""/>
        <dsp:cNvSpPr/>
      </dsp:nvSpPr>
      <dsp:spPr>
        <a:xfrm>
          <a:off x="1013406" y="1974310"/>
          <a:ext cx="651206" cy="1279340"/>
        </a:xfrm>
        <a:custGeom>
          <a:avLst/>
          <a:gdLst/>
          <a:ahLst/>
          <a:cxnLst/>
          <a:rect l="0" t="0" r="0" b="0"/>
          <a:pathLst>
            <a:path>
              <a:moveTo>
                <a:pt x="0" y="0"/>
              </a:moveTo>
              <a:lnTo>
                <a:pt x="325603" y="0"/>
              </a:lnTo>
              <a:lnTo>
                <a:pt x="325603" y="1279340"/>
              </a:lnTo>
              <a:lnTo>
                <a:pt x="651206" y="127934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303121" y="2578092"/>
        <a:ext cx="71777" cy="71777"/>
      </dsp:txXfrm>
    </dsp:sp>
    <dsp:sp modelId="{DCDF9066-4818-4825-83CF-7F825D9F0454}">
      <dsp:nvSpPr>
        <dsp:cNvPr id="0" name=""/>
        <dsp:cNvSpPr/>
      </dsp:nvSpPr>
      <dsp:spPr>
        <a:xfrm>
          <a:off x="2779653" y="1978835"/>
          <a:ext cx="708652" cy="424938"/>
        </a:xfrm>
        <a:custGeom>
          <a:avLst/>
          <a:gdLst/>
          <a:ahLst/>
          <a:cxnLst/>
          <a:rect l="0" t="0" r="0" b="0"/>
          <a:pathLst>
            <a:path>
              <a:moveTo>
                <a:pt x="0" y="0"/>
              </a:moveTo>
              <a:lnTo>
                <a:pt x="354326" y="0"/>
              </a:lnTo>
              <a:lnTo>
                <a:pt x="354326" y="424938"/>
              </a:lnTo>
              <a:lnTo>
                <a:pt x="708652" y="42493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3322" y="2170647"/>
        <a:ext cx="41314" cy="41314"/>
      </dsp:txXfrm>
    </dsp:sp>
    <dsp:sp modelId="{CB79D646-584A-411C-A899-BFE97D205E93}">
      <dsp:nvSpPr>
        <dsp:cNvPr id="0" name=""/>
        <dsp:cNvSpPr/>
      </dsp:nvSpPr>
      <dsp:spPr>
        <a:xfrm>
          <a:off x="2779653" y="1933115"/>
          <a:ext cx="708652" cy="91440"/>
        </a:xfrm>
        <a:custGeom>
          <a:avLst/>
          <a:gdLst/>
          <a:ahLst/>
          <a:cxnLst/>
          <a:rect l="0" t="0" r="0" b="0"/>
          <a:pathLst>
            <a:path>
              <a:moveTo>
                <a:pt x="0" y="45720"/>
              </a:moveTo>
              <a:lnTo>
                <a:pt x="708652"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6263" y="1961118"/>
        <a:ext cx="35432" cy="35432"/>
      </dsp:txXfrm>
    </dsp:sp>
    <dsp:sp modelId="{28DE9318-9290-4736-81BE-6093ADE773DC}">
      <dsp:nvSpPr>
        <dsp:cNvPr id="0" name=""/>
        <dsp:cNvSpPr/>
      </dsp:nvSpPr>
      <dsp:spPr>
        <a:xfrm>
          <a:off x="2779653" y="1553896"/>
          <a:ext cx="708652" cy="424938"/>
        </a:xfrm>
        <a:custGeom>
          <a:avLst/>
          <a:gdLst/>
          <a:ahLst/>
          <a:cxnLst/>
          <a:rect l="0" t="0" r="0" b="0"/>
          <a:pathLst>
            <a:path>
              <a:moveTo>
                <a:pt x="0" y="424938"/>
              </a:moveTo>
              <a:lnTo>
                <a:pt x="354326" y="424938"/>
              </a:lnTo>
              <a:lnTo>
                <a:pt x="354326" y="0"/>
              </a:lnTo>
              <a:lnTo>
                <a:pt x="7086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3322" y="1745708"/>
        <a:ext cx="41314" cy="41314"/>
      </dsp:txXfrm>
    </dsp:sp>
    <dsp:sp modelId="{6E2D01D8-56AB-483A-B3F6-ECA3DA14C744}">
      <dsp:nvSpPr>
        <dsp:cNvPr id="0" name=""/>
        <dsp:cNvSpPr/>
      </dsp:nvSpPr>
      <dsp:spPr>
        <a:xfrm>
          <a:off x="1013406" y="1928590"/>
          <a:ext cx="651206" cy="91440"/>
        </a:xfrm>
        <a:custGeom>
          <a:avLst/>
          <a:gdLst/>
          <a:ahLst/>
          <a:cxnLst/>
          <a:rect l="0" t="0" r="0" b="0"/>
          <a:pathLst>
            <a:path>
              <a:moveTo>
                <a:pt x="0" y="45720"/>
              </a:moveTo>
              <a:lnTo>
                <a:pt x="325603" y="45720"/>
              </a:lnTo>
              <a:lnTo>
                <a:pt x="325603" y="50244"/>
              </a:lnTo>
              <a:lnTo>
                <a:pt x="651206" y="5024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322729" y="1958030"/>
        <a:ext cx="32561" cy="32561"/>
      </dsp:txXfrm>
    </dsp:sp>
    <dsp:sp modelId="{61D25C78-5DE3-4E72-A323-96B49B078ACF}">
      <dsp:nvSpPr>
        <dsp:cNvPr id="0" name=""/>
        <dsp:cNvSpPr/>
      </dsp:nvSpPr>
      <dsp:spPr>
        <a:xfrm>
          <a:off x="2779653" y="699223"/>
          <a:ext cx="708652" cy="429733"/>
        </a:xfrm>
        <a:custGeom>
          <a:avLst/>
          <a:gdLst/>
          <a:ahLst/>
          <a:cxnLst/>
          <a:rect l="0" t="0" r="0" b="0"/>
          <a:pathLst>
            <a:path>
              <a:moveTo>
                <a:pt x="0" y="0"/>
              </a:moveTo>
              <a:lnTo>
                <a:pt x="354326" y="0"/>
              </a:lnTo>
              <a:lnTo>
                <a:pt x="354326" y="429733"/>
              </a:lnTo>
              <a:lnTo>
                <a:pt x="708652" y="42973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3260" y="893371"/>
        <a:ext cx="41438" cy="41438"/>
      </dsp:txXfrm>
    </dsp:sp>
    <dsp:sp modelId="{28E41196-D885-4731-AD3B-560CC11B1913}">
      <dsp:nvSpPr>
        <dsp:cNvPr id="0" name=""/>
        <dsp:cNvSpPr/>
      </dsp:nvSpPr>
      <dsp:spPr>
        <a:xfrm>
          <a:off x="2779653" y="653503"/>
          <a:ext cx="708652" cy="91440"/>
        </a:xfrm>
        <a:custGeom>
          <a:avLst/>
          <a:gdLst/>
          <a:ahLst/>
          <a:cxnLst/>
          <a:rect l="0" t="0" r="0" b="0"/>
          <a:pathLst>
            <a:path>
              <a:moveTo>
                <a:pt x="0" y="45720"/>
              </a:moveTo>
              <a:lnTo>
                <a:pt x="708652"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6263" y="681507"/>
        <a:ext cx="35432" cy="35432"/>
      </dsp:txXfrm>
    </dsp:sp>
    <dsp:sp modelId="{5B293E58-F79D-478F-9871-A21FD829F835}">
      <dsp:nvSpPr>
        <dsp:cNvPr id="0" name=""/>
        <dsp:cNvSpPr/>
      </dsp:nvSpPr>
      <dsp:spPr>
        <a:xfrm>
          <a:off x="2779653" y="269489"/>
          <a:ext cx="708652" cy="429733"/>
        </a:xfrm>
        <a:custGeom>
          <a:avLst/>
          <a:gdLst/>
          <a:ahLst/>
          <a:cxnLst/>
          <a:rect l="0" t="0" r="0" b="0"/>
          <a:pathLst>
            <a:path>
              <a:moveTo>
                <a:pt x="0" y="429733"/>
              </a:moveTo>
              <a:lnTo>
                <a:pt x="354326" y="429733"/>
              </a:lnTo>
              <a:lnTo>
                <a:pt x="354326" y="0"/>
              </a:lnTo>
              <a:lnTo>
                <a:pt x="7086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chemeClr val="tx1"/>
            </a:solidFill>
          </a:endParaRPr>
        </a:p>
      </dsp:txBody>
      <dsp:txXfrm>
        <a:off x="3113260" y="463637"/>
        <a:ext cx="41438" cy="41438"/>
      </dsp:txXfrm>
    </dsp:sp>
    <dsp:sp modelId="{E8AE1A7C-5F86-4687-AA9E-6B3415EF03B5}">
      <dsp:nvSpPr>
        <dsp:cNvPr id="0" name=""/>
        <dsp:cNvSpPr/>
      </dsp:nvSpPr>
      <dsp:spPr>
        <a:xfrm>
          <a:off x="1013406" y="699223"/>
          <a:ext cx="651206" cy="1275087"/>
        </a:xfrm>
        <a:custGeom>
          <a:avLst/>
          <a:gdLst/>
          <a:ahLst/>
          <a:cxnLst/>
          <a:rect l="0" t="0" r="0" b="0"/>
          <a:pathLst>
            <a:path>
              <a:moveTo>
                <a:pt x="0" y="1275087"/>
              </a:moveTo>
              <a:lnTo>
                <a:pt x="325603" y="1275087"/>
              </a:lnTo>
              <a:lnTo>
                <a:pt x="325603" y="0"/>
              </a:lnTo>
              <a:lnTo>
                <a:pt x="65120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303216" y="1300973"/>
        <a:ext cx="71587" cy="71587"/>
      </dsp:txXfrm>
    </dsp:sp>
    <dsp:sp modelId="{C2E95261-E3E4-4873-900F-8250DB9008BC}">
      <dsp:nvSpPr>
        <dsp:cNvPr id="0" name=""/>
        <dsp:cNvSpPr/>
      </dsp:nvSpPr>
      <dsp:spPr>
        <a:xfrm rot="16200000">
          <a:off x="-1274724" y="1660490"/>
          <a:ext cx="3948621" cy="627641"/>
        </a:xfrm>
        <a:prstGeom prst="rect">
          <a:avLst/>
        </a:prstGeom>
        <a:solidFill>
          <a:schemeClr val="lt1">
            <a:hueOff val="0"/>
            <a:satOff val="0"/>
            <a:lumOff val="0"/>
            <a:alphaOff val="0"/>
          </a:schemeClr>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endParaRPr lang="zh-CN" altLang="en-US" sz="4000" kern="1200">
            <a:ln>
              <a:solidFill>
                <a:srgbClr val="C00000"/>
              </a:solidFill>
            </a:ln>
          </a:endParaRPr>
        </a:p>
      </dsp:txBody>
      <dsp:txXfrm>
        <a:off x="-1274724" y="1660490"/>
        <a:ext cx="3948621" cy="627641"/>
      </dsp:txXfrm>
    </dsp:sp>
    <dsp:sp modelId="{C4028277-E0E3-4082-B82C-01EC25B2B779}">
      <dsp:nvSpPr>
        <dsp:cNvPr id="0" name=""/>
        <dsp:cNvSpPr/>
      </dsp:nvSpPr>
      <dsp:spPr>
        <a:xfrm>
          <a:off x="1664613" y="529247"/>
          <a:ext cx="1115039"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网点结构</a:t>
          </a:r>
          <a:r>
            <a:rPr lang="en-US" altLang="zh-CN" sz="1100" kern="1200"/>
            <a:t>B</a:t>
          </a:r>
          <a:r>
            <a:rPr lang="en-US" altLang="zh-CN" sz="1100" kern="1200" baseline="-25000"/>
            <a:t>1</a:t>
          </a:r>
          <a:endParaRPr lang="zh-CN" altLang="en-US" sz="1100" kern="1200" baseline="-25000"/>
        </a:p>
      </dsp:txBody>
      <dsp:txXfrm>
        <a:off x="1664613" y="529247"/>
        <a:ext cx="1115039" cy="339951"/>
      </dsp:txXfrm>
    </dsp:sp>
    <dsp:sp modelId="{9289DA1A-571B-4331-AC42-2C39FDE7B28C}">
      <dsp:nvSpPr>
        <dsp:cNvPr id="0" name=""/>
        <dsp:cNvSpPr/>
      </dsp:nvSpPr>
      <dsp:spPr>
        <a:xfrm>
          <a:off x="3488305" y="99513"/>
          <a:ext cx="1630845"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网点数量</a:t>
          </a:r>
          <a:r>
            <a:rPr lang="en-US" altLang="zh-CN" sz="1100" kern="1200"/>
            <a:t>C</a:t>
          </a:r>
          <a:r>
            <a:rPr lang="en-US" altLang="zh-CN" sz="1100" kern="1200" baseline="-25000"/>
            <a:t>1</a:t>
          </a:r>
          <a:endParaRPr lang="zh-CN" altLang="en-US" sz="1100" kern="1200" baseline="-25000"/>
        </a:p>
      </dsp:txBody>
      <dsp:txXfrm>
        <a:off x="3488305" y="99513"/>
        <a:ext cx="1630845" cy="339951"/>
      </dsp:txXfrm>
    </dsp:sp>
    <dsp:sp modelId="{87BE7787-80A4-476A-B85E-C592121596C5}">
      <dsp:nvSpPr>
        <dsp:cNvPr id="0" name=""/>
        <dsp:cNvSpPr/>
      </dsp:nvSpPr>
      <dsp:spPr>
        <a:xfrm>
          <a:off x="3488305" y="524452"/>
          <a:ext cx="1654651" cy="34954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配送线路数量</a:t>
          </a:r>
          <a:r>
            <a:rPr lang="en-US" altLang="zh-CN" sz="1100" kern="1200"/>
            <a:t>C</a:t>
          </a:r>
          <a:r>
            <a:rPr lang="en-US" altLang="zh-CN" sz="1100" kern="1200" baseline="-26000"/>
            <a:t>2</a:t>
          </a:r>
          <a:endParaRPr lang="zh-CN" altLang="en-US" sz="1100" kern="1200" baseline="-26000"/>
        </a:p>
      </dsp:txBody>
      <dsp:txXfrm>
        <a:off x="3488305" y="524452"/>
        <a:ext cx="1654651" cy="349541"/>
      </dsp:txXfrm>
    </dsp:sp>
    <dsp:sp modelId="{176A98B6-F380-429D-A7AA-D33CD877A834}">
      <dsp:nvSpPr>
        <dsp:cNvPr id="0" name=""/>
        <dsp:cNvSpPr/>
      </dsp:nvSpPr>
      <dsp:spPr>
        <a:xfrm>
          <a:off x="3488305" y="958981"/>
          <a:ext cx="1660249"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网点密度</a:t>
          </a:r>
          <a:r>
            <a:rPr lang="en-US" altLang="zh-CN" sz="1100" kern="1200"/>
            <a:t>C</a:t>
          </a:r>
          <a:r>
            <a:rPr lang="en-US" altLang="zh-CN" sz="1100" kern="1200" baseline="-25000"/>
            <a:t>3</a:t>
          </a:r>
          <a:endParaRPr lang="zh-CN" altLang="en-US" sz="1100" kern="1200" baseline="-25000"/>
        </a:p>
      </dsp:txBody>
      <dsp:txXfrm>
        <a:off x="3488305" y="958981"/>
        <a:ext cx="1660249" cy="339951"/>
      </dsp:txXfrm>
    </dsp:sp>
    <dsp:sp modelId="{2F2BBDA6-C3CA-4BD3-B789-8DAF6B3516C3}">
      <dsp:nvSpPr>
        <dsp:cNvPr id="0" name=""/>
        <dsp:cNvSpPr/>
      </dsp:nvSpPr>
      <dsp:spPr>
        <a:xfrm>
          <a:off x="1664613" y="1808859"/>
          <a:ext cx="1115039"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设施水平</a:t>
          </a:r>
          <a:r>
            <a:rPr lang="en-US" altLang="zh-CN" sz="1100" kern="1200"/>
            <a:t>B2</a:t>
          </a:r>
          <a:endParaRPr lang="zh-CN" altLang="en-US" sz="1100" kern="1200"/>
        </a:p>
      </dsp:txBody>
      <dsp:txXfrm>
        <a:off x="1664613" y="1808859"/>
        <a:ext cx="1115039" cy="339951"/>
      </dsp:txXfrm>
    </dsp:sp>
    <dsp:sp modelId="{232B4E64-0738-48AC-9230-59DE21EE472D}">
      <dsp:nvSpPr>
        <dsp:cNvPr id="0" name=""/>
        <dsp:cNvSpPr/>
      </dsp:nvSpPr>
      <dsp:spPr>
        <a:xfrm>
          <a:off x="3488305" y="1383920"/>
          <a:ext cx="1660249"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网点面积</a:t>
          </a:r>
          <a:r>
            <a:rPr lang="en-US" altLang="zh-CN" sz="1100" kern="1200"/>
            <a:t>C</a:t>
          </a:r>
          <a:r>
            <a:rPr lang="en-US" altLang="zh-CN" sz="1100" kern="1200" baseline="-25000"/>
            <a:t>4</a:t>
          </a:r>
          <a:endParaRPr lang="zh-CN" altLang="en-US" sz="1100" kern="1200" baseline="-25000"/>
        </a:p>
      </dsp:txBody>
      <dsp:txXfrm>
        <a:off x="3488305" y="1383920"/>
        <a:ext cx="1660249" cy="339951"/>
      </dsp:txXfrm>
    </dsp:sp>
    <dsp:sp modelId="{20747498-02E5-45C3-9D7B-E3DEDF0B71A9}">
      <dsp:nvSpPr>
        <dsp:cNvPr id="0" name=""/>
        <dsp:cNvSpPr/>
      </dsp:nvSpPr>
      <dsp:spPr>
        <a:xfrm>
          <a:off x="3488305" y="1808859"/>
          <a:ext cx="1631615"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网点覆盖率</a:t>
          </a:r>
          <a:r>
            <a:rPr lang="en-US" altLang="zh-CN" sz="1100" kern="1200"/>
            <a:t>C</a:t>
          </a:r>
          <a:r>
            <a:rPr lang="en-US" altLang="zh-CN" sz="1100" kern="1200" baseline="-25000"/>
            <a:t>5</a:t>
          </a:r>
          <a:endParaRPr lang="zh-CN" altLang="en-US" sz="1100" kern="1200" baseline="-25000"/>
        </a:p>
      </dsp:txBody>
      <dsp:txXfrm>
        <a:off x="3488305" y="1808859"/>
        <a:ext cx="1631615" cy="339951"/>
      </dsp:txXfrm>
    </dsp:sp>
    <dsp:sp modelId="{889A7331-154B-4CEB-AA93-1F8D89E48C0D}">
      <dsp:nvSpPr>
        <dsp:cNvPr id="0" name=""/>
        <dsp:cNvSpPr/>
      </dsp:nvSpPr>
      <dsp:spPr>
        <a:xfrm>
          <a:off x="3488305" y="2233798"/>
          <a:ext cx="1640357"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停车场面积</a:t>
          </a:r>
          <a:r>
            <a:rPr lang="en-US" altLang="zh-CN" sz="1100" kern="1200"/>
            <a:t>C6</a:t>
          </a:r>
          <a:endParaRPr lang="zh-CN" altLang="en-US" sz="1100" kern="1200"/>
        </a:p>
      </dsp:txBody>
      <dsp:txXfrm>
        <a:off x="3488305" y="2233798"/>
        <a:ext cx="1640357" cy="339951"/>
      </dsp:txXfrm>
    </dsp:sp>
    <dsp:sp modelId="{7C943DDB-028A-47C5-8077-7B89C73F23B6}">
      <dsp:nvSpPr>
        <dsp:cNvPr id="0" name=""/>
        <dsp:cNvSpPr/>
      </dsp:nvSpPr>
      <dsp:spPr>
        <a:xfrm>
          <a:off x="1664613" y="3083676"/>
          <a:ext cx="1115039"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服务水平</a:t>
          </a:r>
          <a:r>
            <a:rPr lang="en-US" altLang="zh-CN" sz="1100" kern="1200"/>
            <a:t>B</a:t>
          </a:r>
          <a:r>
            <a:rPr lang="en-US" altLang="zh-CN" sz="1100" kern="1200" baseline="-25000"/>
            <a:t>3</a:t>
          </a:r>
          <a:endParaRPr lang="zh-CN" altLang="en-US" sz="1100" kern="1200" baseline="-25000"/>
        </a:p>
      </dsp:txBody>
      <dsp:txXfrm>
        <a:off x="1664613" y="3083676"/>
        <a:ext cx="1115039" cy="339951"/>
      </dsp:txXfrm>
    </dsp:sp>
    <dsp:sp modelId="{597DC6C0-E7DD-4ADA-B1D3-91205B9D492A}">
      <dsp:nvSpPr>
        <dsp:cNvPr id="0" name=""/>
        <dsp:cNvSpPr/>
      </dsp:nvSpPr>
      <dsp:spPr>
        <a:xfrm>
          <a:off x="3488305" y="2658737"/>
          <a:ext cx="1647181"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t>平均托运距离</a:t>
          </a:r>
          <a:r>
            <a:rPr lang="en-US" altLang="zh-CN" sz="1200" kern="1200"/>
            <a:t>C</a:t>
          </a:r>
          <a:r>
            <a:rPr lang="en-US" altLang="zh-CN" sz="1200" kern="1200" baseline="-25000"/>
            <a:t>7</a:t>
          </a:r>
          <a:endParaRPr lang="zh-CN" altLang="en-US" sz="1200" kern="1200" baseline="-25000"/>
        </a:p>
      </dsp:txBody>
      <dsp:txXfrm>
        <a:off x="3488305" y="2658737"/>
        <a:ext cx="1647181" cy="339951"/>
      </dsp:txXfrm>
    </dsp:sp>
    <dsp:sp modelId="{7091C208-D7FB-41D1-B1E9-8DFEA0A314C2}">
      <dsp:nvSpPr>
        <dsp:cNvPr id="0" name=""/>
        <dsp:cNvSpPr/>
      </dsp:nvSpPr>
      <dsp:spPr>
        <a:xfrm>
          <a:off x="3488305" y="3083676"/>
          <a:ext cx="1659401"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t>网点设备保障率</a:t>
          </a:r>
          <a:r>
            <a:rPr lang="en-US" altLang="zh-CN" sz="1200" kern="1200"/>
            <a:t>C8</a:t>
          </a:r>
          <a:endParaRPr lang="zh-CN" altLang="en-US" sz="1200" kern="1200"/>
        </a:p>
      </dsp:txBody>
      <dsp:txXfrm>
        <a:off x="3488305" y="3083676"/>
        <a:ext cx="1659401" cy="339951"/>
      </dsp:txXfrm>
    </dsp:sp>
    <dsp:sp modelId="{8B57E505-37EE-4DF9-9FB7-DD522E90F66A}">
      <dsp:nvSpPr>
        <dsp:cNvPr id="0" name=""/>
        <dsp:cNvSpPr/>
      </dsp:nvSpPr>
      <dsp:spPr>
        <a:xfrm>
          <a:off x="3488305" y="3508615"/>
          <a:ext cx="1654072" cy="339951"/>
        </a:xfrm>
        <a:prstGeom prst="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平均收发货时耗</a:t>
          </a:r>
          <a:r>
            <a:rPr lang="en-US" altLang="zh-CN" sz="1100" kern="1200"/>
            <a:t>C</a:t>
          </a:r>
          <a:r>
            <a:rPr lang="en-US" altLang="zh-CN" sz="1100" kern="1200" baseline="-25000"/>
            <a:t>9</a:t>
          </a:r>
          <a:endParaRPr lang="zh-CN" altLang="en-US" sz="1100" kern="1200" baseline="-25000"/>
        </a:p>
      </dsp:txBody>
      <dsp:txXfrm>
        <a:off x="3488305" y="3508615"/>
        <a:ext cx="1654072" cy="33995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3">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386"/>
    <customShpInfo spid="_x0000_s1417"/>
    <customShpInfo spid="_x0000_s1418"/>
    <customShpInfo spid="_x0000_s1419"/>
    <customShpInfo spid="_x0000_s1420"/>
    <customShpInfo spid="_x0000_s1421"/>
    <customShpInfo spid="_x0000_s1422"/>
    <customShpInfo spid="_x0000_s1423"/>
    <customShpInfo spid="_x0000_s1416"/>
    <customShpInfo spid="_x0000_s1425"/>
    <customShpInfo spid="_x0000_s1426"/>
    <customShpInfo spid="_x0000_s1427"/>
    <customShpInfo spid="_x0000_s1429"/>
    <customShpInfo spid="_x0000_s1431"/>
    <customShpInfo spid="_x0000_s1432"/>
    <customShpInfo spid="_x0000_s1433"/>
    <customShpInfo spid="_x0000_s1434"/>
    <customShpInfo spid="_x0000_s1430"/>
    <customShpInfo spid="_x0000_s1428"/>
    <customShpInfo spid="_x0000_s1436"/>
    <customShpInfo spid="_x0000_s1437"/>
    <customShpInfo spid="_x0000_s1438"/>
    <customShpInfo spid="_x0000_s1439"/>
    <customShpInfo spid="_x0000_s1440"/>
    <customShpInfo spid="_x0000_s1441"/>
    <customShpInfo spid="_x0000_s1442"/>
    <customShpInfo spid="_x0000_s1435"/>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43"/>
    <customShpInfo spid="_x0000_s1458"/>
    <customShpInfo spid="_x0000_s1459"/>
    <customShpInfo spid="_x0000_s1460"/>
    <customShpInfo spid="_x0000_s1461"/>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62"/>
    <customShpInfo spid="_x0000_s1424"/>
    <customShpInfo spid="_x0000_s1415"/>
    <customShpInfo spid="_x0000_s1628"/>
    <customShpInfo spid="_x0000_s1627"/>
    <customShpInfo spid="_x0000_s1626"/>
    <customShpInfo spid="_x0000_s1630"/>
    <customShpInfo spid="_x0000_s162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034534-1EB0-4931-A421-7F742432889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10445</Words>
  <Characters>59539</Characters>
  <Lines>496</Lines>
  <Paragraphs>139</Paragraphs>
  <TotalTime>398</TotalTime>
  <ScaleCrop>false</ScaleCrop>
  <LinksUpToDate>false</LinksUpToDate>
  <CharactersWithSpaces>69845</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2018-09-30T06:22:00Z</dcterms:created>
  <dc:creator>Administrator</dc:creator>
  <cp:lastModifiedBy>Administrator</cp:lastModifiedBy>
  <cp:lastPrinted>2018-10-28T13:56:00Z</cp:lastPrinted>
  <dcterms:modified xsi:type="dcterms:W3CDTF">2018-10-29T06:51:40Z</dcterms:modified>
  <cp:revision>604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