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sz w:val="76"/>
          <w:szCs w:val="76"/>
        </w:rPr>
      </w:pPr>
    </w:p>
    <w:p>
      <w:pPr>
        <w:rPr>
          <w:rFonts w:ascii="方正小标宋简体" w:eastAsia="方正小标宋简体"/>
          <w:sz w:val="76"/>
          <w:szCs w:val="76"/>
        </w:rPr>
      </w:pPr>
      <w:r>
        <w:rPr>
          <w:rFonts w:hint="eastAsia" w:ascii="方正小标宋简体" w:eastAsia="方正小标宋简体"/>
          <w:color w:val="FF0000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581025</wp:posOffset>
                </wp:positionV>
                <wp:extent cx="5791835" cy="990600"/>
                <wp:effectExtent l="0" t="0" r="0" b="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83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方正小标宋简体" w:eastAsia="方正小标宋简体"/>
                                <w:color w:val="FF0000"/>
                                <w:w w:val="66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66"/>
                                <w:sz w:val="96"/>
                                <w:szCs w:val="96"/>
                              </w:rPr>
                              <w:t>泉州台商投资区管理委员会文件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7.6pt;margin-top:45.75pt;height:78pt;width:456.05pt;z-index:251661312;mso-width-relative:page;mso-height-relative:page;" filled="f" stroked="f" coordsize="21600,21600" o:gfxdata="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方正小标宋简体" w:eastAsia="方正小标宋简体"/>
                          <w:color w:val="FF0000"/>
                          <w:w w:val="66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66"/>
                          <w:sz w:val="96"/>
                          <w:szCs w:val="96"/>
                        </w:rPr>
                        <w:t>泉州台商投资区管理委员会文件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eastAsia="方正小标宋简体"/>
          <w:sz w:val="76"/>
          <w:szCs w:val="76"/>
        </w:rPr>
      </w:pPr>
    </w:p>
    <w:p>
      <w:pPr>
        <w:tabs>
          <w:tab w:val="left" w:pos="2880"/>
        </w:tabs>
        <w:spacing w:line="580" w:lineRule="exact"/>
        <w:rPr>
          <w:rFonts w:ascii="方正小标宋简体" w:eastAsia="方正小标宋简体"/>
          <w:sz w:val="76"/>
          <w:szCs w:val="76"/>
        </w:rPr>
      </w:pPr>
      <w:r>
        <w:rPr>
          <w:rFonts w:hint="eastAsia" w:ascii="方正小标宋简体" w:eastAsia="方正小标宋简体"/>
          <w:color w:val="FF0000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931545</wp:posOffset>
                </wp:positionV>
                <wp:extent cx="5609590" cy="0"/>
                <wp:effectExtent l="0" t="17780" r="10160" b="2032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0"/>
                        </a:xfrm>
                        <a:prstGeom prst="line">
                          <a:avLst/>
                        </a:prstGeom>
                        <a:ln w="3556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55pt;margin-top:73.35pt;height:0pt;width:441.7pt;z-index:251660288;mso-width-relative:page;mso-height-relative:page;" filled="f" stroked="t" coordsize="21600,21600" o:gfxdata="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">
                <v:fill on="f" focussize="0,0"/>
                <v:stroke weight="2.8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sz w:val="76"/>
          <w:szCs w:val="76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5" w:leftChars="150" w:right="315" w:rightChars="15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泉台管〔202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2985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泉州台商投资区管理委员会关于东园镇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秀涂村、琅山村村庄规划的批复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left="0" w:right="0"/>
        <w:jc w:val="both"/>
        <w:textAlignment w:val="auto"/>
        <w:rPr>
          <w:rFonts w:hint="eastAsia" w:ascii="仿宋_GB2312" w:hAnsi="仿宋" w:eastAsia="仿宋_GB2312" w:cs="仿宋_GB2312"/>
          <w:i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_GB2312"/>
          <w:i w:val="0"/>
          <w: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东园镇人民政府：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你镇《东园镇人民政府关于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申请审批东园镇秀涂村、琅山村村庄规划的请示》（惠东政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34号）收悉，经研究，批复如下：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原则同意《泉州台商投资区东园镇秀涂村村庄规划（2024-2035）》和《泉州台商投资区东园镇琅山村村庄规划（2024-2035）》。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规划涉及的基本农田、用地布局、基础设施、文物保护、河流水系等各项强制性内容必须按有关规定严格组织实施，各设施要有计划、有步骤地开展建设。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经批准的村庄规划是村庄建设用地规划管理的依据，你镇、各村应加强规划的宣传与引导，调动村民参与村庄建设的积极性和主动性，并逐步改变村民居住理念，做好规划实施的监管工作，确保规划落到实处。区自然资源与规划建设交通局、农林水与生态环境局等相关部门要做好及时指导及督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四、经批准的规划具有法律效力，任何单位和个人都应严格遵守，不得擅自改变，如确需调整或修改，应按法定程序呈报审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                          泉州台商投资区管理委员会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lang w:val="en-US" w:eastAsia="zh-CN"/>
        </w:rPr>
        <w:t xml:space="preserve"> 2024年9日18日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40" w:hanging="840" w:hangingChars="3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79" w:leftChars="266" w:hanging="320" w:hanging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（此件主动公开）</w:t>
      </w:r>
    </w:p>
    <w:p>
      <w:pPr>
        <w:tabs>
          <w:tab w:val="left" w:pos="7100"/>
        </w:tabs>
        <w:bidi w:val="0"/>
        <w:jc w:val="left"/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100"/>
        </w:tabs>
        <w:bidi w:val="0"/>
        <w:jc w:val="left"/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100"/>
        </w:tabs>
        <w:bidi w:val="0"/>
        <w:jc w:val="left"/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100"/>
        </w:tabs>
        <w:bidi w:val="0"/>
        <w:jc w:val="left"/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100"/>
        </w:tabs>
        <w:bidi w:val="0"/>
        <w:jc w:val="left"/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100"/>
        </w:tabs>
        <w:bidi w:val="0"/>
        <w:jc w:val="left"/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100"/>
        </w:tabs>
        <w:bidi w:val="0"/>
        <w:jc w:val="left"/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100"/>
        </w:tabs>
        <w:bidi w:val="0"/>
        <w:jc w:val="left"/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100"/>
        </w:tabs>
        <w:bidi w:val="0"/>
        <w:jc w:val="left"/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100"/>
        </w:tabs>
        <w:bidi w:val="0"/>
        <w:jc w:val="left"/>
        <w:rPr>
          <w:rFonts w:hint="default" w:ascii="Times New Roman" w:hAnsi="Times New Roman" w:eastAsia="仿宋_GB2312" w:cs="Times New Roman"/>
          <w:kern w:val="2"/>
          <w:sz w:val="21"/>
          <w:szCs w:val="24"/>
          <w:lang w:val="en-US" w:eastAsia="zh-CN" w:bidi="ar-SA"/>
        </w:rPr>
      </w:pPr>
    </w:p>
    <w:p>
      <w:pPr>
        <w:widowControl/>
        <w:spacing w:line="540" w:lineRule="exact"/>
        <w:ind w:firstLine="640" w:firstLineChars="200"/>
        <w:jc w:val="center"/>
        <w:rPr>
          <w:rFonts w:hint="eastAsia" w:eastAsia="仿宋_GB2312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left" w:pos="7371"/>
          <w:tab w:val="left" w:pos="7513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315" w:leftChars="150" w:right="315" w:rightChars="15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413385</wp:posOffset>
                </wp:positionV>
                <wp:extent cx="5600700" cy="0"/>
                <wp:effectExtent l="0" t="4445" r="0" b="5080"/>
                <wp:wrapNone/>
                <wp:docPr id="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.75pt;margin-top:32.55pt;height:0pt;width:441pt;z-index:251664384;mso-width-relative:page;mso-height-relative:page;" filled="f" stroked="t" coordsize="21600,21600" o:gfxdata="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600700" cy="0"/>
                <wp:effectExtent l="0" t="4445" r="0" b="5080"/>
                <wp:wrapNone/>
                <wp:docPr id="8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4pt;height:0pt;width:441pt;z-index:251663360;mso-width-relative:page;mso-height-relative:page;" filled="f" stroked="t" coordsize="21600,21600" o:gfxdata="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泉州台商投资区管委会办公室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 xml:space="preserve"> 202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年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日印发</w:t>
      </w:r>
    </w:p>
    <w:sectPr>
      <w:footerReference r:id="rId3" w:type="default"/>
      <w:pgSz w:w="11906" w:h="16838"/>
      <w:pgMar w:top="1928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BQAAAAIAIdO4kCzSVju0AAAAAUBAAAPAAAAAAAA&#10;AAEAIAAAADgAAABkcnMvZG93bnJldi54bWxQSwECFAAUAAAACACHTuJASLb2J9wCAAAkBgAADgAA&#10;AAAAAAABACAAAAA1AQAAZHJzL2Uyb0RvYy54bWxQSwECFAAKAAAAAACHTuJAAAAAAAAAAAAAAAAA&#10;BAAAAAAAAAAAABAAAAAWAAAAZHJzL1BLAQIUAAoAAAAAAIdO4kAAAAAAAAAAAAAAAAAGAAAAAAAA&#10;AAAAEAAAAD0EAABfcmVscy9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54908B"/>
    <w:multiLevelType w:val="singleLevel"/>
    <w:tmpl w:val="5E5490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Nzk1Y2JiYjNlMmIwMDI2ZTcxZTY4ODNjNjQ5YTYifQ=="/>
  </w:docVars>
  <w:rsids>
    <w:rsidRoot w:val="00000000"/>
    <w:rsid w:val="02B66853"/>
    <w:rsid w:val="054C6F23"/>
    <w:rsid w:val="082F79FD"/>
    <w:rsid w:val="0B4B44A5"/>
    <w:rsid w:val="0BF0306E"/>
    <w:rsid w:val="0EB353A4"/>
    <w:rsid w:val="16F40113"/>
    <w:rsid w:val="185C0380"/>
    <w:rsid w:val="1C185120"/>
    <w:rsid w:val="1FAA5466"/>
    <w:rsid w:val="206E7E18"/>
    <w:rsid w:val="22FB11F0"/>
    <w:rsid w:val="23816BB3"/>
    <w:rsid w:val="24C9498C"/>
    <w:rsid w:val="33A65C7A"/>
    <w:rsid w:val="39D150F2"/>
    <w:rsid w:val="449B7C71"/>
    <w:rsid w:val="45563201"/>
    <w:rsid w:val="4784076F"/>
    <w:rsid w:val="56AB71F7"/>
    <w:rsid w:val="59F722FD"/>
    <w:rsid w:val="5C145C3C"/>
    <w:rsid w:val="5E3D14DA"/>
    <w:rsid w:val="5EA51E08"/>
    <w:rsid w:val="62A33586"/>
    <w:rsid w:val="632C1646"/>
    <w:rsid w:val="63A41996"/>
    <w:rsid w:val="67AB17A7"/>
    <w:rsid w:val="6A6A694E"/>
    <w:rsid w:val="72107EAC"/>
    <w:rsid w:val="75BC1159"/>
    <w:rsid w:val="7AF23DAB"/>
    <w:rsid w:val="DF3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457</Characters>
  <Lines>0</Lines>
  <Paragraphs>0</Paragraphs>
  <TotalTime>1</TotalTime>
  <ScaleCrop>false</ScaleCrop>
  <LinksUpToDate>false</LinksUpToDate>
  <CharactersWithSpaces>552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2021-11-11T16:43:00Z</dcterms:created>
  <dc:creator>Administrator</dc:creator>
  <cp:lastModifiedBy>msk</cp:lastModifiedBy>
  <cp:lastPrinted>2024-01-16T09:03:00Z</cp:lastPrinted>
  <dcterms:modified xsi:type="dcterms:W3CDTF">2024-09-20T15:32:23Z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50D95306A521E9BB0725ED66B4BA6AA6</vt:lpwstr>
  </property>
</Properties>
</file>