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z w:val="76"/>
          <w:szCs w:val="76"/>
        </w:rPr>
      </w:pPr>
    </w:p>
    <w:p>
      <w:pPr>
        <w:rPr>
          <w:rFonts w:ascii="方正小标宋简体" w:eastAsia="方正小标宋简体"/>
          <w:sz w:val="76"/>
          <w:szCs w:val="76"/>
        </w:rPr>
      </w:pPr>
      <w:r>
        <w:rPr>
          <w:rFonts w:hint="eastAsia" w:ascii="方正小标宋简体" w:eastAsia="方正小标宋简体"/>
          <w:color w:val="FF0000"/>
          <w:sz w:val="76"/>
          <w:szCs w:val="76"/>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581025</wp:posOffset>
                </wp:positionV>
                <wp:extent cx="5791835" cy="9906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5791835" cy="990600"/>
                        </a:xfrm>
                        <a:prstGeom prst="rect">
                          <a:avLst/>
                        </a:prstGeom>
                        <a:noFill/>
                        <a:ln>
                          <a:noFill/>
                        </a:ln>
                        <a:effectLst/>
                      </wps:spPr>
                      <wps:txbx>
                        <w:txbxContent>
                          <w:p>
                            <w:pPr>
                              <w:jc w:val="distribute"/>
                              <w:rPr>
                                <w:rFonts w:hint="eastAsia" w:ascii="方正小标宋简体" w:eastAsia="方正小标宋简体"/>
                                <w:color w:val="FF0000"/>
                                <w:w w:val="66"/>
                                <w:sz w:val="96"/>
                                <w:szCs w:val="96"/>
                              </w:rPr>
                            </w:pPr>
                            <w:r>
                              <w:rPr>
                                <w:rFonts w:hint="eastAsia" w:ascii="方正小标宋简体" w:eastAsia="方正小标宋简体"/>
                                <w:color w:val="FF0000"/>
                                <w:w w:val="66"/>
                                <w:sz w:val="96"/>
                                <w:szCs w:val="96"/>
                              </w:rPr>
                              <w:t>泉州台商投资区管理委员会文件</w:t>
                            </w:r>
                          </w:p>
                        </w:txbxContent>
                      </wps:txbx>
                      <wps:bodyPr vert="horz" wrap="square" anchor="t" anchorCtr="0" upright="1"/>
                    </wps:wsp>
                  </a:graphicData>
                </a:graphic>
              </wp:anchor>
            </w:drawing>
          </mc:Choice>
          <mc:Fallback>
            <w:pict>
              <v:shape id="文本框 8" o:spid="_x0000_s1026" o:spt="202" type="#_x0000_t202" style="position:absolute;left:0pt;margin-left:-7.6pt;margin-top:45.75pt;height:78pt;width:456.05pt;z-index:251660288;mso-width-relative:page;mso-height-relative:page;" filled="f" stroked="f" coordsize="21600,21600" o:gfxdata="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">
                <v:fill on="f" focussize="0,0"/>
                <v:stroke on="f"/>
                <v:imagedata o:title=""/>
                <o:lock v:ext="edit" aspectratio="f"/>
                <v:textbox>
                  <w:txbxContent>
                    <w:p>
                      <w:pPr>
                        <w:jc w:val="distribute"/>
                        <w:rPr>
                          <w:rFonts w:hint="eastAsia" w:ascii="方正小标宋简体" w:eastAsia="方正小标宋简体"/>
                          <w:color w:val="FF0000"/>
                          <w:w w:val="66"/>
                          <w:sz w:val="96"/>
                          <w:szCs w:val="96"/>
                        </w:rPr>
                      </w:pPr>
                      <w:r>
                        <w:rPr>
                          <w:rFonts w:hint="eastAsia" w:ascii="方正小标宋简体" w:eastAsia="方正小标宋简体"/>
                          <w:color w:val="FF0000"/>
                          <w:w w:val="66"/>
                          <w:sz w:val="96"/>
                          <w:szCs w:val="96"/>
                        </w:rPr>
                        <w:t>泉州台商投资区管理委员会文件</w:t>
                      </w:r>
                    </w:p>
                  </w:txbxContent>
                </v:textbox>
              </v:shape>
            </w:pict>
          </mc:Fallback>
        </mc:AlternateContent>
      </w:r>
    </w:p>
    <w:p>
      <w:pPr>
        <w:rPr>
          <w:rFonts w:ascii="方正小标宋简体" w:eastAsia="方正小标宋简体"/>
          <w:sz w:val="76"/>
          <w:szCs w:val="76"/>
        </w:rPr>
      </w:pPr>
    </w:p>
    <w:p>
      <w:pPr>
        <w:tabs>
          <w:tab w:val="left" w:pos="2880"/>
        </w:tabs>
        <w:spacing w:line="580" w:lineRule="exact"/>
        <w:rPr>
          <w:rFonts w:ascii="方正小标宋简体" w:eastAsia="方正小标宋简体"/>
          <w:sz w:val="76"/>
          <w:szCs w:val="76"/>
        </w:rPr>
      </w:pPr>
      <w:r>
        <w:rPr>
          <w:rFonts w:hint="eastAsia" w:ascii="方正小标宋简体" w:eastAsia="方正小标宋简体"/>
          <w:color w:val="FF0000"/>
          <w:sz w:val="76"/>
          <w:szCs w:val="76"/>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931545</wp:posOffset>
                </wp:positionV>
                <wp:extent cx="5609590" cy="0"/>
                <wp:effectExtent l="0" t="17780" r="10160" b="20320"/>
                <wp:wrapNone/>
                <wp:docPr id="5" name="直线 4"/>
                <wp:cNvGraphicFramePr/>
                <a:graphic xmlns:a="http://schemas.openxmlformats.org/drawingml/2006/main">
                  <a:graphicData uri="http://schemas.microsoft.com/office/word/2010/wordprocessingShape">
                    <wps:wsp>
                      <wps:cNvCnPr/>
                      <wps:spPr>
                        <a:xfrm>
                          <a:off x="0" y="0"/>
                          <a:ext cx="5609590" cy="0"/>
                        </a:xfrm>
                        <a:prstGeom prst="line">
                          <a:avLst/>
                        </a:prstGeom>
                        <a:ln w="3556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55pt;margin-top:73.35pt;height:0pt;width:441.7pt;z-index:251659264;mso-width-relative:page;mso-height-relative:page;" filled="f" stroked="t" coordsize="21600,21600" o:gfxdata="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">
                <v:fill on="f" focussize="0,0"/>
                <v:stroke weight="2.8pt" color="#FF0000" joinstyle="round"/>
                <v:imagedata o:title=""/>
                <o:lock v:ext="edit" aspectratio="f"/>
              </v:line>
            </w:pict>
          </mc:Fallback>
        </mc:AlternateContent>
      </w:r>
      <w:r>
        <w:rPr>
          <w:rFonts w:ascii="方正小标宋简体" w:eastAsia="方正小标宋简体"/>
          <w:sz w:val="76"/>
          <w:szCs w:val="76"/>
        </w:rPr>
        <w:tab/>
      </w:r>
    </w:p>
    <w:p>
      <w:pPr>
        <w:keepNext w:val="0"/>
        <w:keepLines w:val="0"/>
        <w:pageBreakBefore w:val="0"/>
        <w:widowControl w:val="0"/>
        <w:kinsoku/>
        <w:wordWrap/>
        <w:overflowPunct/>
        <w:topLinePunct w:val="0"/>
        <w:autoSpaceDE/>
        <w:autoSpaceDN/>
        <w:bidi w:val="0"/>
        <w:adjustRightInd/>
        <w:snapToGrid/>
        <w:spacing w:line="580" w:lineRule="exact"/>
        <w:ind w:left="315" w:leftChars="150" w:right="315" w:rightChars="150"/>
        <w:jc w:val="center"/>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泉台管〔202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75</w:t>
      </w:r>
      <w:r>
        <w:rPr>
          <w:rFonts w:hint="default" w:ascii="Times New Roman" w:hAnsi="Times New Roman" w:eastAsia="仿宋_GB2312" w:cs="Times New Roman"/>
          <w:sz w:val="32"/>
          <w:szCs w:val="32"/>
        </w:rPr>
        <w:t>号</w:t>
      </w:r>
    </w:p>
    <w:p>
      <w:pPr>
        <w:keepNext w:val="0"/>
        <w:keepLines w:val="0"/>
        <w:pageBreakBefore w:val="0"/>
        <w:widowControl w:val="0"/>
        <w:tabs>
          <w:tab w:val="left" w:pos="2985"/>
        </w:tab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Style w:val="12"/>
          <w:rFonts w:hint="eastAsia" w:ascii="方正小标宋简体" w:hAnsi="方正小标宋简体" w:eastAsia="方正小标宋简体" w:cs="方正小标宋简体"/>
          <w:bCs/>
          <w:spacing w:val="-11"/>
          <w:kern w:val="0"/>
          <w:sz w:val="44"/>
          <w:szCs w:val="44"/>
        </w:rPr>
      </w:pPr>
      <w:r>
        <w:rPr>
          <w:rFonts w:hint="eastAsia" w:ascii="Times New Roman" w:hAnsi="Times New Roman" w:eastAsia="方正小标宋简体"/>
          <w:bCs/>
          <w:spacing w:val="-11"/>
          <w:sz w:val="44"/>
          <w:szCs w:val="44"/>
        </w:rPr>
        <w:t>泉州台商投资区管</w:t>
      </w:r>
      <w:r>
        <w:rPr>
          <w:rFonts w:hint="eastAsia" w:ascii="Times New Roman" w:hAnsi="Times New Roman" w:eastAsia="方正小标宋简体"/>
          <w:bCs/>
          <w:spacing w:val="-11"/>
          <w:sz w:val="44"/>
          <w:szCs w:val="44"/>
          <w:lang w:eastAsia="zh-CN"/>
        </w:rPr>
        <w:t>理</w:t>
      </w:r>
      <w:r>
        <w:rPr>
          <w:rFonts w:hint="eastAsia" w:ascii="Times New Roman" w:hAnsi="Times New Roman" w:eastAsia="方正小标宋简体"/>
          <w:bCs/>
          <w:spacing w:val="-11"/>
          <w:sz w:val="44"/>
          <w:szCs w:val="44"/>
        </w:rPr>
        <w:t>委</w:t>
      </w:r>
      <w:r>
        <w:rPr>
          <w:rFonts w:hint="eastAsia" w:ascii="Times New Roman" w:hAnsi="Times New Roman" w:eastAsia="方正小标宋简体"/>
          <w:bCs/>
          <w:spacing w:val="-11"/>
          <w:sz w:val="44"/>
          <w:szCs w:val="44"/>
          <w:lang w:eastAsia="zh-CN"/>
        </w:rPr>
        <w:t>员</w:t>
      </w:r>
      <w:r>
        <w:rPr>
          <w:rFonts w:hint="eastAsia" w:ascii="Times New Roman" w:hAnsi="Times New Roman" w:eastAsia="方正小标宋简体"/>
          <w:bCs/>
          <w:spacing w:val="-11"/>
          <w:sz w:val="44"/>
          <w:szCs w:val="44"/>
        </w:rPr>
        <w:t>会关于</w:t>
      </w:r>
      <w:r>
        <w:rPr>
          <w:rStyle w:val="12"/>
          <w:rFonts w:ascii="方正小标宋简体" w:hAnsi="方正小标宋简体" w:eastAsia="方正小标宋简体" w:cs="方正小标宋简体"/>
          <w:bCs/>
          <w:spacing w:val="-11"/>
          <w:kern w:val="0"/>
          <w:sz w:val="44"/>
          <w:szCs w:val="44"/>
        </w:rPr>
        <w:t>泉州台商投资区</w:t>
      </w:r>
      <w:r>
        <w:rPr>
          <w:rStyle w:val="12"/>
          <w:rFonts w:hint="eastAsia" w:ascii="方正小标宋简体" w:hAnsi="方正小标宋简体" w:eastAsia="方正小标宋简体" w:cs="方正小标宋简体"/>
          <w:bCs/>
          <w:spacing w:val="-11"/>
          <w:kern w:val="0"/>
          <w:sz w:val="44"/>
          <w:szCs w:val="44"/>
        </w:rPr>
        <w:t>玉溪花苑安置项目（第一批次）回迁</w:t>
      </w:r>
    </w:p>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Style w:val="12"/>
          <w:rFonts w:ascii="方正小标宋简体" w:hAnsi="方正小标宋简体" w:eastAsia="方正小标宋简体" w:cs="方正小标宋简体"/>
          <w:bCs/>
          <w:spacing w:val="-11"/>
          <w:kern w:val="0"/>
          <w:sz w:val="44"/>
          <w:szCs w:val="44"/>
        </w:rPr>
      </w:pPr>
      <w:r>
        <w:rPr>
          <w:rStyle w:val="12"/>
          <w:rFonts w:hint="eastAsia" w:ascii="方正小标宋简体" w:hAnsi="方正小标宋简体" w:eastAsia="方正小标宋简体" w:cs="方正小标宋简体"/>
          <w:bCs/>
          <w:spacing w:val="-11"/>
          <w:kern w:val="0"/>
          <w:sz w:val="44"/>
          <w:szCs w:val="44"/>
        </w:rPr>
        <w:t>选房安置</w:t>
      </w:r>
      <w:r>
        <w:rPr>
          <w:rStyle w:val="12"/>
          <w:rFonts w:ascii="方正小标宋简体" w:hAnsi="方正小标宋简体" w:eastAsia="方正小标宋简体" w:cs="方正小标宋简体"/>
          <w:bCs/>
          <w:spacing w:val="-11"/>
          <w:kern w:val="0"/>
          <w:sz w:val="44"/>
          <w:szCs w:val="44"/>
        </w:rPr>
        <w:t>实施办法</w:t>
      </w:r>
      <w:r>
        <w:rPr>
          <w:rStyle w:val="12"/>
          <w:rFonts w:hint="eastAsia" w:ascii="方正小标宋简体" w:hAnsi="方正小标宋简体" w:eastAsia="方正小标宋简体" w:cs="方正小标宋简体"/>
          <w:bCs/>
          <w:spacing w:val="-11"/>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b/>
          <w:sz w:val="36"/>
          <w:szCs w:val="36"/>
        </w:rPr>
      </w:pPr>
    </w:p>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泉州台商投资区张坂片区项目土地房屋征收拆迁指挥部：</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你部报来的《关于泉州台商投资区玉溪花苑安置项目（第一批次）回迁选房安置实施办法的请示》（泉台张征指〔2024〕8号）收悉。经研究，原则同意《泉州台商投资区玉溪花苑安置项目（第一批次）回迁选房安置实施办法》，请你部根据实施办法的有关规定，认真组织实施。</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此复。</w:t>
      </w:r>
    </w:p>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line="500" w:lineRule="exact"/>
        <w:ind w:firstLine="3840" w:firstLineChars="1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泉州台商投资区管理委员会</w:t>
      </w:r>
    </w:p>
    <w:p>
      <w:pPr>
        <w:keepNext w:val="0"/>
        <w:keepLines w:val="0"/>
        <w:pageBreakBefore w:val="0"/>
        <w:widowControl w:val="0"/>
        <w:kinsoku/>
        <w:overflowPunct/>
        <w:topLinePunct w:val="0"/>
        <w:autoSpaceDE/>
        <w:autoSpaceDN/>
        <w:bidi w:val="0"/>
        <w:adjustRightInd/>
        <w:snapToGrid/>
        <w:spacing w:line="500" w:lineRule="exact"/>
        <w:ind w:firstLine="960" w:firstLine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2024年7月25日</w:t>
      </w:r>
    </w:p>
    <w:p>
      <w:pPr>
        <w:pStyle w:val="2"/>
        <w:keepNext w:val="0"/>
        <w:keepLines w:val="0"/>
        <w:pageBreakBefore w:val="0"/>
        <w:widowControl w:val="0"/>
        <w:kinsoku/>
        <w:overflowPunct/>
        <w:topLinePunct w:val="0"/>
        <w:autoSpaceDE/>
        <w:autoSpaceDN/>
        <w:bidi w:val="0"/>
        <w:adjustRightInd/>
        <w:spacing w:line="500"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（此件主动公开）</w:t>
      </w: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eastAsia="仿宋_GB2312"/>
          <w:sz w:val="32"/>
          <w:szCs w:val="32"/>
          <w:lang w:val="en-US" w:eastAsia="zh-CN"/>
        </w:rPr>
      </w:pPr>
    </w:p>
    <w:p>
      <w:pPr>
        <w:keepNext w:val="0"/>
        <w:keepLines w:val="0"/>
        <w:pageBreakBefore w:val="0"/>
        <w:widowControl w:val="0"/>
        <w:tabs>
          <w:tab w:val="left" w:pos="7371"/>
          <w:tab w:val="left" w:pos="7513"/>
        </w:tabs>
        <w:kinsoku/>
        <w:wordWrap/>
        <w:overflowPunct/>
        <w:topLinePunct w:val="0"/>
        <w:autoSpaceDE/>
        <w:autoSpaceDN/>
        <w:bidi w:val="0"/>
        <w:adjustRightInd w:val="0"/>
        <w:snapToGrid/>
        <w:spacing w:line="580" w:lineRule="exact"/>
        <w:ind w:left="315" w:leftChars="150" w:right="315" w:rightChars="150"/>
        <w:textAlignment w:val="auto"/>
        <w:rPr>
          <w:rFonts w:hint="eastAsia" w:ascii="仿宋_GB2312" w:hAnsi="宋体" w:eastAsia="仿宋_GB2312"/>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413385</wp:posOffset>
                </wp:positionV>
                <wp:extent cx="5600700" cy="0"/>
                <wp:effectExtent l="0" t="4445" r="0" b="5080"/>
                <wp:wrapNone/>
                <wp:docPr id="2" name="直线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0.75pt;margin-top:32.55pt;height:0pt;width:441pt;z-index:251663360;mso-width-relative:page;mso-height-relative:page;" filled="f" stroked="t" coordsize="21600,21600" o:gfxdata="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50800</wp:posOffset>
                </wp:positionV>
                <wp:extent cx="5600700" cy="0"/>
                <wp:effectExtent l="0" t="4445" r="0" b="5080"/>
                <wp:wrapNone/>
                <wp:docPr id="6" name="直线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4pt;height:0pt;width:441pt;z-index:251662336;mso-width-relative:page;mso-height-relative:page;" filled="f" stroked="t" coordsize="21600,21600" o:gfxdata="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泉州台商投资区管委会办公室        </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宋体"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宋体" w:cs="Times New Roman"/>
          <w:sz w:val="28"/>
          <w:szCs w:val="28"/>
          <w:lang w:val="en-US" w:eastAsia="zh-CN"/>
        </w:rPr>
        <w:t>25</w:t>
      </w:r>
      <w:r>
        <w:rPr>
          <w:rFonts w:hint="default" w:ascii="Times New Roman" w:hAnsi="Times New Roman" w:eastAsia="仿宋_GB2312" w:cs="Times New Roman"/>
          <w:sz w:val="28"/>
          <w:szCs w:val="28"/>
        </w:rPr>
        <w:t>日印发</w:t>
      </w:r>
    </w:p>
    <w:sectPr>
      <w:footerReference r:id="rId3" w:type="default"/>
      <w:pgSz w:w="11906" w:h="16838"/>
      <w:pgMar w:top="1928" w:right="1531" w:bottom="187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05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">
              <v:fill on="f" focussize="0,0"/>
              <v:stroke on="f" weight="1.2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MGJhNTIxMDZhNzQyMGViZjE0YjU4ZjcwZDY2NmQifQ=="/>
    <w:docVar w:name="KSO_WPS_MARK_KEY" w:val="ea5bc041-ec96-473d-a65c-1055b6af868d"/>
  </w:docVars>
  <w:rsids>
    <w:rsidRoot w:val="00172A27"/>
    <w:rsid w:val="001170E7"/>
    <w:rsid w:val="001A5D33"/>
    <w:rsid w:val="002833B5"/>
    <w:rsid w:val="006C4E5F"/>
    <w:rsid w:val="00790734"/>
    <w:rsid w:val="00A637C5"/>
    <w:rsid w:val="00C035A5"/>
    <w:rsid w:val="037A522A"/>
    <w:rsid w:val="046A487B"/>
    <w:rsid w:val="04863FB4"/>
    <w:rsid w:val="058434A0"/>
    <w:rsid w:val="068255C2"/>
    <w:rsid w:val="07667FF2"/>
    <w:rsid w:val="09C17A0E"/>
    <w:rsid w:val="0A431BAA"/>
    <w:rsid w:val="0CC30AFE"/>
    <w:rsid w:val="112148F0"/>
    <w:rsid w:val="11C31D56"/>
    <w:rsid w:val="12DE0BF6"/>
    <w:rsid w:val="16B240C8"/>
    <w:rsid w:val="16B94654"/>
    <w:rsid w:val="17E27326"/>
    <w:rsid w:val="182C2DE0"/>
    <w:rsid w:val="1AE633EE"/>
    <w:rsid w:val="204A0531"/>
    <w:rsid w:val="20EA0B31"/>
    <w:rsid w:val="238F3F4E"/>
    <w:rsid w:val="271756EB"/>
    <w:rsid w:val="28520495"/>
    <w:rsid w:val="29436701"/>
    <w:rsid w:val="2B826CE1"/>
    <w:rsid w:val="36D96699"/>
    <w:rsid w:val="370A417C"/>
    <w:rsid w:val="3B9111C4"/>
    <w:rsid w:val="3C836713"/>
    <w:rsid w:val="3D5E6E54"/>
    <w:rsid w:val="3DE0289B"/>
    <w:rsid w:val="3E0A5610"/>
    <w:rsid w:val="3EFF9969"/>
    <w:rsid w:val="3F72181A"/>
    <w:rsid w:val="41750070"/>
    <w:rsid w:val="41DD1C45"/>
    <w:rsid w:val="42AF7B85"/>
    <w:rsid w:val="43A52119"/>
    <w:rsid w:val="45F41681"/>
    <w:rsid w:val="47742E6E"/>
    <w:rsid w:val="485D4964"/>
    <w:rsid w:val="4A010D2D"/>
    <w:rsid w:val="4E5D57FA"/>
    <w:rsid w:val="51E205A4"/>
    <w:rsid w:val="57CE4B01"/>
    <w:rsid w:val="58E926CC"/>
    <w:rsid w:val="608B064F"/>
    <w:rsid w:val="60EA6C97"/>
    <w:rsid w:val="62752180"/>
    <w:rsid w:val="62984F16"/>
    <w:rsid w:val="63473DD5"/>
    <w:rsid w:val="64300366"/>
    <w:rsid w:val="65495D1A"/>
    <w:rsid w:val="69223C48"/>
    <w:rsid w:val="69FA38CE"/>
    <w:rsid w:val="6A5A3F3F"/>
    <w:rsid w:val="6B33010D"/>
    <w:rsid w:val="6F0A52BC"/>
    <w:rsid w:val="705A5093"/>
    <w:rsid w:val="70962DD8"/>
    <w:rsid w:val="74012297"/>
    <w:rsid w:val="75334907"/>
    <w:rsid w:val="757D311A"/>
    <w:rsid w:val="76C52522"/>
    <w:rsid w:val="7D575AA9"/>
    <w:rsid w:val="7E3977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Normal Indent"/>
    <w:basedOn w:val="1"/>
    <w:qFormat/>
    <w:uiPriority w:val="0"/>
    <w:pPr>
      <w:ind w:firstLine="420"/>
    </w:pPr>
    <w:rPr>
      <w:rFonts w:ascii="Times New Roman" w:hAnsi="Times New Roman" w:eastAsia="仿宋_GB2312" w:cs="Times New Roman"/>
      <w:sz w:val="32"/>
      <w:szCs w:val="24"/>
    </w:rPr>
  </w:style>
  <w:style w:type="paragraph" w:styleId="4">
    <w:name w:val="Body Text"/>
    <w:basedOn w:val="1"/>
    <w:semiHidden/>
    <w:qFormat/>
    <w:uiPriority w:val="0"/>
    <w:rPr>
      <w:rFonts w:eastAsia="方正仿宋简体"/>
      <w:sz w:val="32"/>
    </w:rPr>
  </w:style>
  <w:style w:type="paragraph" w:styleId="5">
    <w:name w:val="Date"/>
    <w:basedOn w:val="1"/>
    <w:next w:val="1"/>
    <w:qFormat/>
    <w:uiPriority w:val="0"/>
    <w:pPr>
      <w:ind w:left="100" w:leftChars="2500"/>
    </w:pPr>
  </w:style>
  <w:style w:type="paragraph" w:styleId="6">
    <w:name w:val="footer"/>
    <w:basedOn w:val="1"/>
    <w:link w:val="10"/>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9"/>
    <w:link w:val="6"/>
    <w:qFormat/>
    <w:uiPriority w:val="0"/>
    <w:rPr>
      <w:kern w:val="2"/>
      <w:sz w:val="18"/>
      <w:szCs w:val="18"/>
    </w:rPr>
  </w:style>
  <w:style w:type="character" w:customStyle="1" w:styleId="11">
    <w:name w:val="页眉 Char"/>
    <w:basedOn w:val="9"/>
    <w:link w:val="7"/>
    <w:qFormat/>
    <w:uiPriority w:val="0"/>
    <w:rPr>
      <w:kern w:val="2"/>
      <w:sz w:val="18"/>
      <w:szCs w:val="18"/>
    </w:rPr>
  </w:style>
  <w:style w:type="character" w:customStyle="1" w:styleId="12">
    <w:name w:val="UserStyle_0"/>
    <w:qFormat/>
    <w:uiPriority w:val="0"/>
    <w:rPr>
      <w:kern w:val="2"/>
      <w:sz w:val="21"/>
      <w:szCs w:val="24"/>
      <w:lang w:val="en-US" w:eastAsia="zh-CN" w:bidi="ar-SA"/>
    </w:rPr>
  </w:style>
  <w:style w:type="character" w:customStyle="1" w:styleId="1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Pages>
  <Words>238</Words>
  <Characters>250</Characters>
  <Lines>1</Lines>
  <Paragraphs>1</Paragraphs>
  <TotalTime>5</TotalTime>
  <ScaleCrop>false</ScaleCrop>
  <LinksUpToDate>false</LinksUpToDate>
  <CharactersWithSpaces>298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2010-08-03T23:59:00Z</dcterms:created>
  <dc:creator>Administrator</dc:creator>
  <cp:lastModifiedBy>msk</cp:lastModifiedBy>
  <cp:lastPrinted>2023-12-18T17:41:00Z</cp:lastPrinted>
  <dcterms:modified xsi:type="dcterms:W3CDTF">2024-07-26T16:32:43Z</dcterms:modified>
  <dc:title>泉州台商投资区管委会关于南北主干道工程房屋拆迁补偿安置实施方案的批复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C9E178ACCCFDC336485DA366E9EA5118</vt:lpwstr>
  </property>
</Properties>
</file>