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2025年百崎回族乡招商工作考评细则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一、考评工作机构、对象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（一）考评工作机构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考评工作由百崎回族乡开放招商领导小组办公室负责</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（二）考评对象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各行政村招商小组，对各招商小组的考评结果纳入村级年度考核和干部年度考评依据。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二、考核任务指标及分值分布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（一）项目签约（50分）：</w:t>
      </w:r>
      <w:r>
        <w:rPr>
          <w:rFonts w:hint="default" w:ascii="Times New Roman" w:hAnsi="Times New Roman" w:eastAsia="仿宋_GB2312" w:cs="Times New Roman"/>
          <w:sz w:val="32"/>
          <w:szCs w:val="32"/>
        </w:rPr>
        <w:t>签约项目总投资额（35分）、总投资额贡献率（5分）、侨港澳台商项目签约投资额（5分）、20亿元以上签约项目数（5分）；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（二）项目开工（25分）：</w:t>
      </w:r>
      <w:r>
        <w:rPr>
          <w:rFonts w:hint="default" w:ascii="Times New Roman" w:hAnsi="Times New Roman" w:eastAsia="仿宋_GB2312" w:cs="Times New Roman"/>
          <w:sz w:val="32"/>
          <w:szCs w:val="32"/>
        </w:rPr>
        <w:t xml:space="preserve">2023年以来签约项目开工率（20分)、重点领域招商项目开工（5分）；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（三）项目投产（25分）：</w:t>
      </w:r>
      <w:r>
        <w:rPr>
          <w:rFonts w:hint="default" w:ascii="Times New Roman" w:hAnsi="Times New Roman" w:eastAsia="仿宋_GB2312" w:cs="Times New Roman"/>
          <w:sz w:val="32"/>
          <w:szCs w:val="32"/>
        </w:rPr>
        <w:t>2022年以来签约项目投产率（20分)、5亿元以上重大招商项目投产或运营（5分）。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具体考核任务指标分值分布详见附件4。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三、加分项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w:t>
      </w:r>
      <w:r>
        <w:rPr>
          <w:rFonts w:hint="default" w:ascii="Times New Roman" w:hAnsi="Times New Roman" w:eastAsia="仿宋_GB2312" w:cs="Times New Roman"/>
          <w:sz w:val="32"/>
          <w:szCs w:val="32"/>
        </w:rPr>
        <w:t>策划省级重点招商项目入库，每成功入库1个项目加3分。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w:t>
      </w:r>
      <w:r>
        <w:rPr>
          <w:rFonts w:hint="default" w:ascii="Times New Roman" w:hAnsi="Times New Roman" w:eastAsia="仿宋_GB2312" w:cs="Times New Roman"/>
          <w:sz w:val="32"/>
          <w:szCs w:val="32"/>
        </w:rPr>
        <w:t>参与省内重大招商活动项目签约，每成功签约1个项目加3分。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w:t>
      </w:r>
      <w:r>
        <w:rPr>
          <w:rFonts w:hint="default" w:ascii="Times New Roman" w:hAnsi="Times New Roman" w:eastAsia="仿宋_GB2312" w:cs="Times New Roman"/>
          <w:sz w:val="32"/>
          <w:szCs w:val="32"/>
        </w:rPr>
        <w:t>招引总投资10亿元以上省外项目落地，每成功招引落地1个项目加3分。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w:t>
      </w:r>
      <w:r>
        <w:rPr>
          <w:rFonts w:hint="default" w:ascii="Times New Roman" w:hAnsi="Times New Roman" w:eastAsia="仿宋_GB2312" w:cs="Times New Roman"/>
          <w:sz w:val="32"/>
          <w:szCs w:val="32"/>
        </w:rPr>
        <w:t>招引省外国家级专精特新“小巨人”企业招引落地，每成功招引落地1个项目加3分。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四、项目确认程序</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（一）接洽报备。</w:t>
      </w:r>
      <w:r>
        <w:rPr>
          <w:rFonts w:hint="default" w:ascii="Times New Roman" w:hAnsi="Times New Roman" w:eastAsia="仿宋_GB2312" w:cs="Times New Roman"/>
          <w:sz w:val="32"/>
          <w:szCs w:val="32"/>
        </w:rPr>
        <w:t>首接洽的招商小组应向乡招商办（挂靠在乡企业办）报备。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（二）签约报审。</w:t>
      </w:r>
      <w:r>
        <w:rPr>
          <w:rFonts w:hint="default" w:ascii="Times New Roman" w:hAnsi="Times New Roman" w:eastAsia="仿宋_GB2312" w:cs="Times New Roman"/>
          <w:sz w:val="32"/>
          <w:szCs w:val="32"/>
        </w:rPr>
        <w:t>各招商小组应在签订项目合同后及时将合同文本汇总至乡招商办，乡招商办不定期将项目签约情况呈报乡开放招商领导小组办公室主任审定。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五、其他说明</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（一）招商项目投资规模要求：</w:t>
      </w:r>
      <w:r>
        <w:rPr>
          <w:rFonts w:hint="default" w:ascii="Times New Roman" w:hAnsi="Times New Roman" w:eastAsia="仿宋_GB2312" w:cs="Times New Roman"/>
          <w:sz w:val="32"/>
          <w:szCs w:val="32"/>
        </w:rPr>
        <w:t>第一产业项目0.3亿元及以上、第二产业项目1亿元及以上、第三产业项目0.5亿元及以上；入驻标准化工业园区项目0.2亿元及以上。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（二）国内重大展会平台：</w:t>
      </w:r>
      <w:r>
        <w:rPr>
          <w:rFonts w:hint="default" w:ascii="Times New Roman" w:hAnsi="Times New Roman" w:eastAsia="仿宋_GB2312" w:cs="Times New Roman"/>
          <w:sz w:val="32"/>
          <w:szCs w:val="32"/>
        </w:rPr>
        <w:t>指省级政府或部委以上单位主办的展会平台，包括在本省举办和外省举办的，包括但不限于：中国国际投资贸易洽谈会、数字中国建设峰会、21世纪海上丝绸之路博览会暨海峡两岸经贸交易会、海峡创新项目成果交易会、世界航海装备大会、福建省文旅经济发展大会，以及中国国际服务贸易交易会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专场招商活动：</w:t>
      </w:r>
      <w:r>
        <w:rPr>
          <w:rFonts w:hint="default" w:ascii="Times New Roman" w:hAnsi="Times New Roman" w:eastAsia="仿宋_GB2312" w:cs="Times New Roman"/>
          <w:sz w:val="32"/>
          <w:szCs w:val="32"/>
        </w:rPr>
        <w:t>指在展会期间以地市（包括工作部门）名义举办的招商活动，如“**市投资推介会”“**项目对接会”“**企业合作座谈会”等。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（三）重点领域招商项目：</w:t>
      </w:r>
      <w:r>
        <w:rPr>
          <w:rFonts w:hint="default" w:ascii="Times New Roman" w:hAnsi="Times New Roman" w:eastAsia="仿宋_GB2312" w:cs="Times New Roman"/>
          <w:sz w:val="32"/>
          <w:szCs w:val="32"/>
        </w:rPr>
        <w:t>包括投资2亿元及以上的本地重点工业企业增资扩产项目；侨商、在外泉商回泉投资2亿元及以上的项目；投资2亿元及以上的重点文旅产业项目；投资2亿元及以上的“新赛道”产业项目；总投资额10亿元及以上的制造业项目；实际到资3000万元及以上的农业项目；实际到资1亿元以上的服务业项目。同一项目符合多种情形的只按1次得分，且需提供项目备案表及施工证（至少一项），备案金额不低于所列金额。项目需现场认定或拍摄现场视频报审认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（四）开工认定标准：</w:t>
      </w:r>
      <w:r>
        <w:rPr>
          <w:rFonts w:hint="default" w:ascii="Times New Roman" w:hAnsi="Times New Roman" w:eastAsia="仿宋_GB2312" w:cs="Times New Roman"/>
          <w:sz w:val="32"/>
          <w:szCs w:val="32"/>
        </w:rPr>
        <w:t>用地项目（合同内明确用地的）取得开工许可证或产生固定资产投资视为开工；非用地项目需提供新注册营业执照（增资扩产项目除外），以及项目资金投入证明材料（可包括厂房租赁、装修，购置生产线、设备、原材料，购买技术服务，引进团队入驻，建设相应配套设施等费用，需提供租赁/购买合同、银行流水、发票等材料），或以开展实质经营、产生合理营收和税收视为开工。对生物医药、新型研发机构、重大科研产业化项目，可将购买科研设备、引进人才视为开工。重点领域招商项目开工需现场认定或拍摄现场视频报审认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（五）投产认定要求：</w:t>
      </w:r>
    </w:p>
    <w:tbl>
      <w:tblPr>
        <w:tblStyle w:val="5"/>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3843"/>
        <w:gridCol w:w="2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18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642" w:firstLineChars="200"/>
              <w:jc w:val="center"/>
              <w:textAlignment w:val="auto"/>
              <w:rPr>
                <w:rFonts w:hint="default" w:ascii="Times New Roman" w:hAnsi="Times New Roman" w:eastAsia="仿宋_GB2312" w:cs="Times New Roman"/>
                <w:b/>
                <w:bCs/>
                <w:sz w:val="32"/>
                <w:szCs w:val="32"/>
              </w:rPr>
            </w:pPr>
          </w:p>
        </w:tc>
        <w:tc>
          <w:tcPr>
            <w:tcW w:w="38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投产认定要求</w:t>
            </w:r>
          </w:p>
        </w:tc>
        <w:tc>
          <w:tcPr>
            <w:tcW w:w="28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佐证要求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1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新建或改建生产经营场所的项目</w:t>
            </w:r>
          </w:p>
        </w:tc>
        <w:tc>
          <w:tcPr>
            <w:tcW w:w="38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建筑载体需竣工验收，只购买部分设备的不认定为投产。</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项目投产的产能或实际营收应达到合同约定的10%以上。</w:t>
            </w:r>
          </w:p>
        </w:tc>
        <w:tc>
          <w:tcPr>
            <w:tcW w:w="28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企业营业执照</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竣工验收证明</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项目产能或营收证明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21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无新增生产经营场所的增资扩产项目</w:t>
            </w:r>
          </w:p>
        </w:tc>
        <w:tc>
          <w:tcPr>
            <w:tcW w:w="38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设备等固定资产投资1000万以上。</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产能、营收、用电量、用工其中至少两项比企业上一年同期增长10%以上。</w:t>
            </w:r>
          </w:p>
        </w:tc>
        <w:tc>
          <w:tcPr>
            <w:tcW w:w="28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企业营业执照</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项目设备购买证明</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项目产能、营收、用电量、员工社保证明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1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供应链、基金、贸易、销售、总部、合作类等非实体项目</w:t>
            </w:r>
          </w:p>
        </w:tc>
        <w:tc>
          <w:tcPr>
            <w:tcW w:w="38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项目实际营收达合同约定营收的10%。</w:t>
            </w:r>
          </w:p>
        </w:tc>
        <w:tc>
          <w:tcPr>
            <w:tcW w:w="28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企业营业执照、营收证明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其他认定方式</w:t>
            </w:r>
          </w:p>
        </w:tc>
        <w:tc>
          <w:tcPr>
            <w:tcW w:w="38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规模（限额）以下企业发展壮大为规模（限额）以上的，也可视为投产。</w:t>
            </w:r>
          </w:p>
        </w:tc>
        <w:tc>
          <w:tcPr>
            <w:tcW w:w="28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企业营业执照、升规证明</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重大招商项目投产（运营）除普通认定条件外，新增载体类项目需提供项目备案表（备案金额不低于5亿元）及竣工验收等投产证明，需核定项目规模、设备等情况；供应链、基金、</w:t>
      </w:r>
      <w:bookmarkStart w:id="0" w:name="_GoBack"/>
      <w:bookmarkEnd w:id="0"/>
      <w:r>
        <w:rPr>
          <w:rFonts w:hint="default" w:ascii="Times New Roman" w:hAnsi="Times New Roman" w:eastAsia="仿宋_GB2312" w:cs="Times New Roman"/>
          <w:sz w:val="32"/>
          <w:szCs w:val="32"/>
        </w:rPr>
        <w:t>贸易、销售、总部、合作类等非实体项目，纳税额不低于200万予以认定重大招商项目运营。项目需现场认定或拍摄现场视频报审认定。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楷体_GB2312" w:cs="Times New Roman"/>
          <w:b/>
          <w:bCs/>
          <w:sz w:val="32"/>
          <w:szCs w:val="32"/>
          <w:lang w:eastAsia="zh-CN"/>
        </w:rPr>
        <w:sectPr>
          <w:pgSz w:w="11906" w:h="16838"/>
          <w:pgMar w:top="1928" w:right="1531" w:bottom="1871" w:left="1531" w:header="851" w:footer="1417" w:gutter="0"/>
          <w:pgNumType w:fmt="decimal"/>
          <w:cols w:space="425" w:num="1"/>
          <w:docGrid w:type="lines" w:linePitch="312" w:charSpace="0"/>
        </w:sectPr>
      </w:pPr>
      <w:r>
        <w:rPr>
          <w:rFonts w:hint="default" w:ascii="Times New Roman" w:hAnsi="Times New Roman" w:eastAsia="楷体_GB2312" w:cs="Times New Roman"/>
          <w:b/>
          <w:bCs/>
          <w:sz w:val="32"/>
          <w:szCs w:val="32"/>
        </w:rPr>
        <w:t>（六）本细则解释权归百崎回族乡开放招商领导小组办公室</w:t>
      </w:r>
      <w:r>
        <w:rPr>
          <w:rFonts w:hint="eastAsia" w:ascii="Times New Roman" w:hAnsi="Times New Roman" w:eastAsia="楷体_GB2312" w:cs="Times New Roman"/>
          <w:b/>
          <w:bCs/>
          <w:sz w:val="32"/>
          <w:szCs w:val="32"/>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FF4397"/>
    <w:rsid w:val="F9FF4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新正文"/>
    <w:basedOn w:val="3"/>
    <w:qFormat/>
    <w:uiPriority w:val="0"/>
    <w:pPr>
      <w:ind w:firstLine="200" w:firstLineChars="200"/>
    </w:pPr>
    <w:rPr>
      <w:rFonts w:ascii="仿宋_GB2312"/>
    </w:rPr>
  </w:style>
  <w:style w:type="paragraph" w:styleId="3">
    <w:name w:val="Plain Text"/>
    <w:basedOn w:val="1"/>
    <w:qFormat/>
    <w:uiPriority w:val="0"/>
    <w:rPr>
      <w:rFonts w:ascii="宋体" w:hAnsi="Courier New" w:eastAsia="宋体" w:cs="Courier New"/>
      <w:szCs w:val="21"/>
    </w:rPr>
  </w:style>
  <w:style w:type="table" w:styleId="5">
    <w:name w:val="Table Grid"/>
    <w:basedOn w:val="4"/>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2025-03-17T11:14:00Z</dcterms:created>
  <dc:creator>user</dc:creator>
  <cp:lastModifiedBy>user</cp:lastModifiedBy>
  <dcterms:modified xsi:type="dcterms:W3CDTF">2025-03-17T11:17:55Z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