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附件2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  <w:u w:val="non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  <w:u w:val="none"/>
        </w:rPr>
        <w:t>201</w:t>
      </w: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  <w:u w:val="none"/>
          <w:lang w:val="en-US" w:eastAsia="zh-CN"/>
        </w:rPr>
        <w:t>9</w:t>
      </w: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  <w:u w:val="none"/>
        </w:rPr>
        <w:t>年度“平安乡镇”、“平安单位”考评得分</w:t>
      </w:r>
    </w:p>
    <w:bookmarkEnd w:id="0"/>
    <w:tbl>
      <w:tblPr>
        <w:tblStyle w:val="2"/>
        <w:tblpPr w:leftFromText="180" w:rightFromText="180" w:vertAnchor="text" w:horzAnchor="page" w:tblpX="1616" w:tblpY="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2"/>
        <w:gridCol w:w="6955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932" w:type="dxa"/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Times New Roman" w:hAnsi="Times New Roman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单  位</w:t>
            </w:r>
          </w:p>
        </w:tc>
        <w:tc>
          <w:tcPr>
            <w:tcW w:w="103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932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乡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镇</w:t>
            </w: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洛阳镇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98.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9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东园镇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张坂镇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9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Times New Roman" w:hAnsi="Times New Roman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百崎乡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98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2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  <w:t>区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  <w:t>直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  <w:t>部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  <w:t>门</w:t>
            </w: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党工委办公室（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含档案局、政策研究中心、效能投诉服务中心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9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党群工作部（含人力资源服务中心、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融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媒体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中心、党群工作服务中心）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9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纪工委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eastAsia="zh-CN" w:bidi="ar"/>
              </w:rPr>
              <w:t>、监工委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（含审计服务中心）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9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综治工作办公室（含法律援助中心、信访服务中心）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99.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9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环境与国土资源局（含土地收储中心、农林水服务中心、环境与土地监察大队、房屋征收中心、不动产登记中心）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9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规划建设与交通运输局（含总工程师办公室、建设工程质量安全监督站、交通综合行政执法大队、交通运输管理所、公园管理处）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</w:trPr>
        <w:tc>
          <w:tcPr>
            <w:tcW w:w="9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科技经济发展局（含重点项目服务中心、价格认定与商贸发展服务中心、社会经济调查队、科技创新中心、商务与安全生产执法大队）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99.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32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Times New Roman" w:hAnsi="Times New Roman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投资促进局（含招商服务中心）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  <w:t>区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  <w:t>直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  <w:t>部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  <w:t>门</w:t>
            </w: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教育文体旅游局（含文体旅游服务中心、招生考试中心、教师进修学校、教育督导室）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98.9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Times New Roman" w:hAnsi="Times New Roman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民生保障局（含社会保险管理中心、民政事务与老年服务中心、妇幼保健院、疾病预防控制中心、城市管理考评中心、劳动监察大队）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财政局（含国库支付中心、财政投资评审中心）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.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市场监督管理局（含市场综合执法大队）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93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行政服务中心管理委员会（含公共资源交易中心）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93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  <w:t>省市驻区有关单位</w:t>
            </w:r>
          </w:p>
        </w:tc>
        <w:tc>
          <w:tcPr>
            <w:tcW w:w="6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城市管理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分局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98.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93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  <w:t>公安分局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93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  <w:t>交警大队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93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  <w:t>消防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救援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  <w:t>大队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  <w:t>税务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分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  <w:t>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9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驻区检察室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8920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仿宋"/>
                <w:b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备注：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u w:val="none"/>
                <w:lang w:bidi="ar"/>
              </w:rPr>
              <w:t>教育系统、卫生系统、区属国有企业考评得分情况由主管部门另行发文通报。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F18B7"/>
    <w:rsid w:val="77E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2020-09-17T10:07:00Z</dcterms:created>
  <dc:creator>SS ^_^</dc:creator>
  <cp:lastModifiedBy>SS ^_^</cp:lastModifiedBy>
  <dcterms:modified xsi:type="dcterms:W3CDTF">2020-09-17T10:08:22Z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