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2D" w:rsidRDefault="00B5032D" w:rsidP="00B5032D">
      <w:pPr>
        <w:adjustRightInd w:val="0"/>
        <w:snapToGrid w:val="0"/>
        <w:spacing w:line="52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仿宋" w:cs="黑体" w:hint="eastAsia"/>
          <w:sz w:val="32"/>
          <w:szCs w:val="32"/>
        </w:rPr>
        <w:t>4</w:t>
      </w:r>
    </w:p>
    <w:p w:rsidR="00B5032D" w:rsidRDefault="00B5032D" w:rsidP="00B5032D">
      <w:pPr>
        <w:pStyle w:val="a0"/>
      </w:pPr>
    </w:p>
    <w:p w:rsidR="00B5032D" w:rsidRDefault="00B5032D" w:rsidP="00B5032D">
      <w:pPr>
        <w:widowControl/>
        <w:adjustRightInd w:val="0"/>
        <w:snapToGrid w:val="0"/>
        <w:spacing w:line="520" w:lineRule="exact"/>
        <w:jc w:val="center"/>
        <w:rPr>
          <w:rFonts w:eastAsia="仿宋" w:cs="仿宋"/>
        </w:rPr>
      </w:pPr>
      <w:bookmarkStart w:id="0" w:name="_GoBack"/>
      <w:r>
        <w:rPr>
          <w:rFonts w:eastAsia="方正小标宋简体" w:cs="宋体" w:hint="eastAsia"/>
          <w:bCs/>
          <w:kern w:val="0"/>
          <w:sz w:val="44"/>
          <w:szCs w:val="44"/>
        </w:rPr>
        <w:t>泉州台商投资区企业落实全员安全生产责任制检查表</w:t>
      </w:r>
      <w:bookmarkEnd w:id="0"/>
    </w:p>
    <w:p w:rsidR="00B5032D" w:rsidRDefault="00B5032D" w:rsidP="00B5032D">
      <w:pPr>
        <w:widowControl/>
        <w:adjustRightInd w:val="0"/>
        <w:snapToGrid w:val="0"/>
        <w:spacing w:line="360" w:lineRule="atLeas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填报单位（盖章）：    法定代表人（签字）：年月日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59"/>
        <w:gridCol w:w="2324"/>
        <w:gridCol w:w="163"/>
        <w:gridCol w:w="381"/>
        <w:gridCol w:w="656"/>
        <w:gridCol w:w="656"/>
        <w:gridCol w:w="656"/>
        <w:gridCol w:w="138"/>
        <w:gridCol w:w="518"/>
        <w:gridCol w:w="656"/>
        <w:gridCol w:w="656"/>
        <w:gridCol w:w="657"/>
      </w:tblGrid>
      <w:tr w:rsidR="00B5032D" w:rsidTr="001F13EC">
        <w:trPr>
          <w:trHeight w:val="230"/>
          <w:jc w:val="center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检查内容</w:t>
            </w: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标准和要求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企业自查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镇级普查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区级复查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市级抽查</w:t>
            </w:r>
          </w:p>
        </w:tc>
      </w:tr>
      <w:tr w:rsidR="00B5032D" w:rsidTr="001F13EC">
        <w:trPr>
          <w:trHeight w:val="222"/>
          <w:jc w:val="center"/>
        </w:trPr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是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否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是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否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是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否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是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pStyle w:val="2"/>
              <w:adjustRightInd w:val="0"/>
              <w:snapToGrid w:val="0"/>
              <w:spacing w:line="260" w:lineRule="exact"/>
              <w:ind w:leftChars="-39" w:left="-7" w:rightChars="-51" w:right="-107" w:hangingChars="34" w:hanging="75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否</w:t>
            </w:r>
          </w:p>
        </w:tc>
      </w:tr>
      <w:tr w:rsidR="00B5032D" w:rsidTr="001F13EC">
        <w:trPr>
          <w:jc w:val="center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t>（一）全员安全生产责任制建立情况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1.是否依法依规设置安全生产管理机构、配备专（兼）职安全生产管理人员，健全安全生产管理网络。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trHeight w:val="90"/>
          <w:jc w:val="center"/>
        </w:trPr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2.是否建立涵盖所有层级和所有岗位的安全生产责任制。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trHeight w:val="787"/>
          <w:jc w:val="center"/>
        </w:trPr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3.是否逐个岗位明确安全生产责任范围、考评标准。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t>（二）企业安全生产责任制公示情况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4.是否在适当位置进行公示。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5.相关的安全生产责任制内容是否符合要求。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t>（三）企业全员安全生产责任制教育培训情况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6.是否制定教育培训计划、方案。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8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7.是否按照规定对所有岗位从业人员（含劳务派遣人员、实习学生等）进行安全生产责任制教育培训。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8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8.是否如实记录相关教育培训情况。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t>（四）企业全员安全生产责任制考核情况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9.是否建立企业全员安全生产责任制考核制度。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10.是否将企业全员安全生产责任制度考核贯彻落实到位。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t>（五）企业生产经营现场实施“3456”管理情况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11.是否完成“四色”安全风险辨识，编制安全风险管控手册，绘制安全风险空间分布图，实施安全风险“三级”公告。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8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12.是否编制事故隐患排查治理“三张清单”。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8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13.是否实行生产经营现场“5S”管理。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8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14.是否完善“六有”安全警示标志。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lastRenderedPageBreak/>
              <w:t>（六）企业消防安全“四个能力”建设情况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15.是否开展检查消防火灾隐患能力建设。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16.是否开展扑救初起火灾能力建设。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17.是否开展组织疏散逃生能力建设。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18.是否开展消防宣传教育能力建设。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t>（七）企业应急管理情况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19.是否建立专兼职应急救援队伍。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8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20.是否配备必要的应急设施、设备和物资；并进行经常性检查、维护、保养，保证正常运行。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8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21.是否制定生产安全事故应急救援预案。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8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22.是否根据本单位的事故风险特点，组织开展应急预案演练。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t>（八）企业事故管理情况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23.是否建立健全内部事故调查和处理制度。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24.是否开展事故案例警示教育。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25.是否建立健全事故档案和管理台账。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t>（九）安全标准化建设情况</w:t>
            </w:r>
          </w:p>
        </w:tc>
        <w:tc>
          <w:tcPr>
            <w:tcW w:w="74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26.年月，经评审（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国家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县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自评）达到级（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国标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省标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地标）标准化。</w:t>
            </w:r>
          </w:p>
        </w:tc>
      </w:tr>
      <w:tr w:rsidR="00B5032D" w:rsidTr="001F13EC">
        <w:trPr>
          <w:trHeight w:val="1834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t>（十）企业自查发现的问题和隐患及其整改情况</w:t>
            </w:r>
          </w:p>
        </w:tc>
        <w:tc>
          <w:tcPr>
            <w:tcW w:w="74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B5032D" w:rsidTr="001F13EC">
        <w:trPr>
          <w:jc w:val="center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spacing w:line="260" w:lineRule="exact"/>
              <w:ind w:leftChars="9" w:left="19" w:rightChars="15" w:right="31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2"/>
                <w:szCs w:val="22"/>
              </w:rPr>
              <w:t>复查复核发现的问题和隐患</w:t>
            </w:r>
          </w:p>
        </w:tc>
        <w:tc>
          <w:tcPr>
            <w:tcW w:w="2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乡镇</w:t>
            </w:r>
          </w:p>
        </w:tc>
        <w:tc>
          <w:tcPr>
            <w:tcW w:w="24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区级部门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市级部门</w:t>
            </w:r>
          </w:p>
        </w:tc>
      </w:tr>
      <w:tr w:rsidR="00B5032D" w:rsidTr="001F13EC">
        <w:trPr>
          <w:trHeight w:val="2887"/>
          <w:jc w:val="center"/>
        </w:trPr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检查人员（签字）：</w:t>
            </w: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检查时间：  年  月 日</w:t>
            </w:r>
          </w:p>
        </w:tc>
        <w:tc>
          <w:tcPr>
            <w:tcW w:w="24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检查人员（签字）：</w:t>
            </w: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检查时间：  年  月 日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检查人员（签字）：</w:t>
            </w: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ind w:leftChars="26" w:left="55" w:firstLine="1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B5032D" w:rsidRDefault="00B5032D" w:rsidP="001F13EC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检查时间：  年  月 日</w:t>
            </w:r>
          </w:p>
        </w:tc>
      </w:tr>
    </w:tbl>
    <w:p w:rsidR="00B5032D" w:rsidRDefault="00B5032D" w:rsidP="00B5032D">
      <w:pPr>
        <w:adjustRightInd w:val="0"/>
        <w:snapToGrid w:val="0"/>
        <w:spacing w:line="260" w:lineRule="exact"/>
        <w:ind w:firstLineChars="100" w:firstLine="241"/>
        <w:rPr>
          <w:rFonts w:eastAsia="仿宋" w:cs="仿宋"/>
          <w:b/>
          <w:sz w:val="24"/>
        </w:rPr>
      </w:pPr>
    </w:p>
    <w:p w:rsidR="005F646F" w:rsidRDefault="00B5032D" w:rsidP="00B5032D">
      <w:r>
        <w:rPr>
          <w:rFonts w:ascii="仿宋_GB2312" w:eastAsia="仿宋_GB2312" w:hAnsi="仿宋_GB2312" w:cs="仿宋_GB2312" w:hint="eastAsia"/>
          <w:b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</w:rPr>
        <w:t>“</w:t>
      </w:r>
      <w:r>
        <w:rPr>
          <w:rFonts w:ascii="仿宋_GB2312" w:eastAsia="仿宋_GB2312" w:hAnsi="仿宋_GB2312" w:cs="仿宋_GB2312" w:hint="eastAsia"/>
          <w:snapToGrid w:val="0"/>
          <w:kern w:val="0"/>
          <w:sz w:val="24"/>
        </w:rPr>
        <w:t>安全标准化建设情况</w:t>
      </w:r>
      <w:r>
        <w:rPr>
          <w:rFonts w:ascii="仿宋_GB2312" w:eastAsia="仿宋_GB2312" w:hAnsi="仿宋_GB2312" w:cs="仿宋_GB2312" w:hint="eastAsia"/>
          <w:sz w:val="24"/>
        </w:rPr>
        <w:t>”一栏“地标”指泉州标准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sectPr w:rsidR="005F646F" w:rsidSect="00F76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AA" w:rsidRDefault="00E249AA" w:rsidP="00B5032D">
      <w:r>
        <w:separator/>
      </w:r>
    </w:p>
  </w:endnote>
  <w:endnote w:type="continuationSeparator" w:id="1">
    <w:p w:rsidR="00E249AA" w:rsidRDefault="00E249AA" w:rsidP="00B5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AA" w:rsidRDefault="00E249AA" w:rsidP="00B5032D">
      <w:r>
        <w:separator/>
      </w:r>
    </w:p>
  </w:footnote>
  <w:footnote w:type="continuationSeparator" w:id="1">
    <w:p w:rsidR="00E249AA" w:rsidRDefault="00E249AA" w:rsidP="00B5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8F7"/>
    <w:rsid w:val="005848F7"/>
    <w:rsid w:val="005F646F"/>
    <w:rsid w:val="00B5032D"/>
    <w:rsid w:val="00C918DA"/>
    <w:rsid w:val="00E249AA"/>
    <w:rsid w:val="00F7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50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5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503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0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5032D"/>
    <w:rPr>
      <w:sz w:val="18"/>
      <w:szCs w:val="18"/>
    </w:rPr>
  </w:style>
  <w:style w:type="paragraph" w:styleId="a0">
    <w:name w:val="Balloon Text"/>
    <w:basedOn w:val="a"/>
    <w:next w:val="a"/>
    <w:link w:val="Char1"/>
    <w:semiHidden/>
    <w:rsid w:val="00B5032D"/>
    <w:rPr>
      <w:sz w:val="18"/>
      <w:szCs w:val="18"/>
    </w:rPr>
  </w:style>
  <w:style w:type="character" w:customStyle="1" w:styleId="Char1">
    <w:name w:val="批注框文本 Char"/>
    <w:basedOn w:val="a1"/>
    <w:link w:val="a0"/>
    <w:semiHidden/>
    <w:rsid w:val="00B5032D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B5032D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B5032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qFormat/>
    <w:rsid w:val="00B5032D"/>
    <w:pPr>
      <w:spacing w:after="0"/>
      <w:ind w:leftChars="0" w:left="0" w:firstLineChars="200" w:firstLine="420"/>
    </w:pPr>
    <w:rPr>
      <w:rFonts w:ascii="仿宋_GB2312" w:eastAsia="仿宋_GB2312"/>
      <w:bCs/>
      <w:sz w:val="32"/>
      <w:szCs w:val="32"/>
    </w:rPr>
  </w:style>
  <w:style w:type="character" w:customStyle="1" w:styleId="2Char">
    <w:name w:val="正文首行缩进 2 Char"/>
    <w:basedOn w:val="Char2"/>
    <w:link w:val="2"/>
    <w:rsid w:val="00B5032D"/>
    <w:rPr>
      <w:rFonts w:ascii="仿宋_GB2312" w:eastAsia="仿宋_GB2312" w:hAnsi="Times New Roman" w:cs="Times New Roman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50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5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503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0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5032D"/>
    <w:rPr>
      <w:sz w:val="18"/>
      <w:szCs w:val="18"/>
    </w:rPr>
  </w:style>
  <w:style w:type="paragraph" w:styleId="a0">
    <w:name w:val="Balloon Text"/>
    <w:basedOn w:val="a"/>
    <w:next w:val="a"/>
    <w:link w:val="Char1"/>
    <w:semiHidden/>
    <w:rsid w:val="00B5032D"/>
    <w:rPr>
      <w:sz w:val="18"/>
      <w:szCs w:val="18"/>
    </w:rPr>
  </w:style>
  <w:style w:type="character" w:customStyle="1" w:styleId="Char1">
    <w:name w:val="批注框文本 Char"/>
    <w:basedOn w:val="a1"/>
    <w:link w:val="a0"/>
    <w:semiHidden/>
    <w:rsid w:val="00B5032D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B5032D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B5032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qFormat/>
    <w:rsid w:val="00B5032D"/>
    <w:pPr>
      <w:spacing w:after="0"/>
      <w:ind w:leftChars="0" w:left="0" w:firstLineChars="200" w:firstLine="420"/>
    </w:pPr>
    <w:rPr>
      <w:rFonts w:ascii="仿宋_GB2312" w:eastAsia="仿宋_GB2312"/>
      <w:bCs/>
      <w:sz w:val="32"/>
      <w:szCs w:val="32"/>
    </w:rPr>
  </w:style>
  <w:style w:type="character" w:customStyle="1" w:styleId="2Char">
    <w:name w:val="正文首行缩进 2 Char"/>
    <w:basedOn w:val="Char2"/>
    <w:link w:val="2"/>
    <w:rsid w:val="00B5032D"/>
    <w:rPr>
      <w:rFonts w:ascii="仿宋_GB2312" w:eastAsia="仿宋_GB2312" w:hAnsi="Times New Roman" w:cs="Times New Roman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骆嘉炜</dc:creator>
  <cp:keywords/>
  <dc:description/>
  <cp:lastModifiedBy>蔡振强</cp:lastModifiedBy>
  <cp:revision>3</cp:revision>
  <dcterms:created xsi:type="dcterms:W3CDTF">2024-03-25T08:56:00Z</dcterms:created>
  <dcterms:modified xsi:type="dcterms:W3CDTF">2024-03-28T01:59:00Z</dcterms:modified>
</cp:coreProperties>
</file>