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40" w:lineRule="exact"/>
        <w:jc w:val="center"/>
        <w:textAlignment w:val="baseline"/>
        <w:rPr>
          <w:rStyle w:val="10"/>
          <w:rFonts w:hint="default" w:ascii="Times New Roman" w:hAnsi="Times New Roman" w:eastAsia="方正小标宋简体" w:cs="Times New Roman"/>
          <w:color w:val="auto"/>
          <w:w w:val="90"/>
          <w:sz w:val="44"/>
          <w:szCs w:val="44"/>
          <w:lang w:val="en-US" w:eastAsia="zh-CN"/>
        </w:rPr>
      </w:pPr>
      <w:r>
        <w:rPr>
          <w:rStyle w:val="10"/>
          <w:rFonts w:hint="eastAsia" w:eastAsia="方正小标宋简体" w:cs="Times New Roman"/>
          <w:color w:val="auto"/>
          <w:w w:val="90"/>
          <w:sz w:val="44"/>
          <w:szCs w:val="44"/>
          <w:lang w:val="en-US" w:eastAsia="zh-CN"/>
        </w:rPr>
        <w:t>泉州台商投资区管理委员会民生保障局</w:t>
      </w:r>
      <w:r>
        <w:rPr>
          <w:rStyle w:val="10"/>
          <w:rFonts w:hint="default" w:ascii="Times New Roman" w:hAnsi="Times New Roman" w:eastAsia="方正小标宋简体" w:cs="Times New Roman"/>
          <w:color w:val="auto"/>
          <w:w w:val="90"/>
          <w:sz w:val="44"/>
          <w:szCs w:val="44"/>
          <w:lang w:val="en-US" w:eastAsia="zh-CN"/>
        </w:rPr>
        <w:t>2025年度</w:t>
      </w:r>
    </w:p>
    <w:p>
      <w:pPr>
        <w:keepNext w:val="0"/>
        <w:keepLines w:val="0"/>
        <w:pageBreakBefore w:val="0"/>
        <w:widowControl/>
        <w:kinsoku/>
        <w:wordWrap/>
        <w:overflowPunct/>
        <w:topLinePunct w:val="0"/>
        <w:autoSpaceDE/>
        <w:autoSpaceDN/>
        <w:bidi w:val="0"/>
        <w:adjustRightInd/>
        <w:snapToGrid w:val="0"/>
        <w:spacing w:line="540" w:lineRule="exact"/>
        <w:jc w:val="center"/>
        <w:textAlignment w:val="baseline"/>
        <w:rPr>
          <w:rStyle w:val="10"/>
          <w:rFonts w:hint="eastAsia" w:ascii="Times New Roman" w:hAnsi="Times New Roman" w:eastAsia="方正小标宋简体" w:cs="Times New Roman"/>
          <w:color w:val="auto"/>
          <w:w w:val="90"/>
          <w:sz w:val="44"/>
          <w:szCs w:val="44"/>
          <w:lang w:eastAsia="zh-CN"/>
        </w:rPr>
      </w:pPr>
      <w:r>
        <w:rPr>
          <w:rStyle w:val="10"/>
          <w:rFonts w:hint="default" w:ascii="Times New Roman" w:hAnsi="Times New Roman" w:eastAsia="方正小标宋简体" w:cs="Times New Roman"/>
          <w:color w:val="auto"/>
          <w:w w:val="90"/>
          <w:sz w:val="44"/>
          <w:szCs w:val="44"/>
        </w:rPr>
        <w:t>行政规范性文件清理结果</w:t>
      </w:r>
      <w:r>
        <w:rPr>
          <w:rStyle w:val="10"/>
          <w:rFonts w:hint="eastAsia" w:eastAsia="方正小标宋简体" w:cs="Times New Roman"/>
          <w:color w:val="auto"/>
          <w:w w:val="90"/>
          <w:sz w:val="44"/>
          <w:szCs w:val="44"/>
          <w:lang w:eastAsia="zh-CN"/>
        </w:rPr>
        <w:t>（征求意见稿）</w:t>
      </w:r>
      <w:bookmarkStart w:id="0" w:name="_GoBack"/>
      <w:bookmarkEnd w:id="0"/>
    </w:p>
    <w:p>
      <w:pPr>
        <w:keepNext w:val="0"/>
        <w:keepLines w:val="0"/>
        <w:pageBreakBefore w:val="0"/>
        <w:widowControl/>
        <w:kinsoku/>
        <w:wordWrap/>
        <w:overflowPunct/>
        <w:topLinePunct w:val="0"/>
        <w:autoSpaceDE/>
        <w:autoSpaceDN/>
        <w:bidi w:val="0"/>
        <w:adjustRightInd/>
        <w:snapToGrid w:val="0"/>
        <w:spacing w:line="540" w:lineRule="exact"/>
        <w:jc w:val="center"/>
        <w:textAlignment w:val="baseline"/>
        <w:rPr>
          <w:rStyle w:val="10"/>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pacing w:line="540" w:lineRule="exact"/>
        <w:textAlignment w:val="baseline"/>
        <w:rPr>
          <w:rStyle w:val="10"/>
          <w:rFonts w:hint="default" w:ascii="Times New Roman" w:hAnsi="Times New Roman" w:cs="Times New Roman"/>
          <w:color w:val="auto"/>
          <w:szCs w:val="32"/>
        </w:rPr>
      </w:pPr>
      <w:r>
        <w:rPr>
          <w:rStyle w:val="10"/>
          <w:rFonts w:hint="default" w:ascii="Times New Roman" w:hAnsi="Times New Roman" w:cs="Times New Roman"/>
          <w:bCs/>
          <w:color w:val="auto"/>
          <w:szCs w:val="32"/>
          <w:lang w:eastAsia="zh-CN"/>
        </w:rPr>
        <w:t>局属各单位，机关各科室</w:t>
      </w:r>
      <w:r>
        <w:rPr>
          <w:rStyle w:val="10"/>
          <w:rFonts w:hint="default" w:ascii="Times New Roman" w:hAnsi="Times New Roman" w:cs="Times New Roman"/>
          <w:color w:val="auto"/>
          <w:szCs w:val="32"/>
        </w:rPr>
        <w:t>：</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baseline"/>
        <w:rPr>
          <w:rStyle w:val="10"/>
          <w:rFonts w:hint="default" w:ascii="Times New Roman" w:hAnsi="Times New Roman" w:cs="Times New Roman"/>
          <w:color w:val="auto"/>
          <w:szCs w:val="32"/>
          <w:lang w:val="en-US" w:eastAsia="zh-CN"/>
        </w:rPr>
      </w:pPr>
      <w:r>
        <w:rPr>
          <w:rStyle w:val="10"/>
          <w:rFonts w:hint="default" w:ascii="Times New Roman" w:hAnsi="Times New Roman" w:cs="Times New Roman"/>
          <w:color w:val="auto"/>
          <w:szCs w:val="32"/>
        </w:rPr>
        <w:t>根据《福建省行政规范性文件备案审查办法》</w:t>
      </w:r>
      <w:r>
        <w:rPr>
          <w:rStyle w:val="10"/>
          <w:rFonts w:hint="default" w:ascii="Times New Roman" w:hAnsi="Times New Roman" w:cs="Times New Roman"/>
          <w:color w:val="auto"/>
          <w:szCs w:val="32"/>
          <w:lang w:eastAsia="zh-CN"/>
        </w:rPr>
        <w:t>（福建省人民政府令</w:t>
      </w:r>
      <w:r>
        <w:rPr>
          <w:rStyle w:val="10"/>
          <w:rFonts w:hint="eastAsia" w:cs="Times New Roman"/>
          <w:color w:val="auto"/>
          <w:szCs w:val="32"/>
          <w:lang w:eastAsia="zh-CN"/>
        </w:rPr>
        <w:t>第</w:t>
      </w:r>
      <w:r>
        <w:rPr>
          <w:rStyle w:val="10"/>
          <w:rFonts w:hint="default" w:ascii="Times New Roman" w:hAnsi="Times New Roman" w:cs="Times New Roman"/>
          <w:color w:val="auto"/>
          <w:szCs w:val="32"/>
          <w:lang w:val="en-US" w:eastAsia="zh-CN"/>
        </w:rPr>
        <w:t>219号</w:t>
      </w:r>
      <w:r>
        <w:rPr>
          <w:rStyle w:val="10"/>
          <w:rFonts w:hint="default" w:ascii="Times New Roman" w:hAnsi="Times New Roman" w:cs="Times New Roman"/>
          <w:color w:val="auto"/>
          <w:szCs w:val="32"/>
          <w:lang w:eastAsia="zh-CN"/>
        </w:rPr>
        <w:t>）和《泉州市人民政府关于印发泉州市行政规范性文件管理规定的通知》（泉政规〔202</w:t>
      </w:r>
      <w:r>
        <w:rPr>
          <w:rStyle w:val="10"/>
          <w:rFonts w:hint="default" w:ascii="Times New Roman" w:hAnsi="Times New Roman" w:cs="Times New Roman"/>
          <w:color w:val="auto"/>
          <w:szCs w:val="32"/>
          <w:lang w:val="en-US" w:eastAsia="zh-CN"/>
        </w:rPr>
        <w:t>2</w:t>
      </w:r>
      <w:r>
        <w:rPr>
          <w:rStyle w:val="10"/>
          <w:rFonts w:hint="default" w:ascii="Times New Roman" w:hAnsi="Times New Roman" w:cs="Times New Roman"/>
          <w:color w:val="auto"/>
          <w:szCs w:val="32"/>
          <w:lang w:eastAsia="zh-CN"/>
        </w:rPr>
        <w:t>〕</w:t>
      </w:r>
      <w:r>
        <w:rPr>
          <w:rStyle w:val="10"/>
          <w:rFonts w:hint="default" w:ascii="Times New Roman" w:hAnsi="Times New Roman" w:cs="Times New Roman"/>
          <w:color w:val="auto"/>
          <w:szCs w:val="32"/>
          <w:lang w:val="en-US" w:eastAsia="zh-CN"/>
        </w:rPr>
        <w:t>3号</w:t>
      </w:r>
      <w:r>
        <w:rPr>
          <w:rStyle w:val="10"/>
          <w:rFonts w:hint="default" w:ascii="Times New Roman" w:hAnsi="Times New Roman" w:cs="Times New Roman"/>
          <w:color w:val="auto"/>
          <w:szCs w:val="32"/>
          <w:lang w:eastAsia="zh-CN"/>
        </w:rPr>
        <w:t>）的规定，对</w:t>
      </w:r>
      <w:r>
        <w:rPr>
          <w:rStyle w:val="10"/>
          <w:rFonts w:hint="default" w:ascii="Times New Roman" w:hAnsi="Times New Roman" w:cs="Times New Roman"/>
          <w:color w:val="auto"/>
          <w:szCs w:val="32"/>
          <w:lang w:val="en-US" w:eastAsia="zh-CN"/>
        </w:rPr>
        <w:t>2024年12月31日前以我局名义发布的行政规范性文件进行清理，现将清理结果公布如下：</w:t>
      </w:r>
    </w:p>
    <w:p>
      <w:pPr>
        <w:keepNext w:val="0"/>
        <w:keepLines w:val="0"/>
        <w:pageBreakBefore w:val="0"/>
        <w:widowControl/>
        <w:kinsoku/>
        <w:wordWrap/>
        <w:overflowPunct/>
        <w:topLinePunct w:val="0"/>
        <w:autoSpaceDE/>
        <w:autoSpaceDN/>
        <w:bidi w:val="0"/>
        <w:adjustRightInd/>
        <w:spacing w:line="540" w:lineRule="exact"/>
        <w:ind w:firstLine="697" w:firstLineChars="218"/>
        <w:textAlignment w:val="baseline"/>
        <w:rPr>
          <w:rStyle w:val="10"/>
          <w:rFonts w:hint="default" w:ascii="Times New Roman" w:hAnsi="Times New Roman" w:cs="Times New Roman"/>
          <w:color w:val="auto"/>
          <w:szCs w:val="32"/>
        </w:rPr>
      </w:pPr>
      <w:r>
        <w:rPr>
          <w:rStyle w:val="10"/>
          <w:rFonts w:hint="default" w:ascii="Times New Roman" w:hAnsi="Times New Roman" w:cs="Times New Roman"/>
          <w:color w:val="auto"/>
          <w:szCs w:val="32"/>
        </w:rPr>
        <w:t>一、</w:t>
      </w:r>
      <w:r>
        <w:rPr>
          <w:rStyle w:val="10"/>
          <w:rFonts w:hint="default" w:ascii="Times New Roman" w:hAnsi="Times New Roman" w:cs="Times New Roman"/>
          <w:color w:val="auto"/>
          <w:spacing w:val="-10"/>
          <w:szCs w:val="32"/>
        </w:rPr>
        <w:t>保留（继续有效）的行政规范性文件</w:t>
      </w:r>
      <w:r>
        <w:rPr>
          <w:rStyle w:val="10"/>
          <w:rFonts w:hint="eastAsia" w:cs="Times New Roman"/>
          <w:color w:val="auto"/>
          <w:szCs w:val="32"/>
          <w:lang w:val="en-US" w:eastAsia="zh-CN"/>
        </w:rPr>
        <w:t>17</w:t>
      </w:r>
      <w:r>
        <w:rPr>
          <w:rStyle w:val="10"/>
          <w:rFonts w:hint="default" w:ascii="Times New Roman" w:hAnsi="Times New Roman" w:cs="Times New Roman"/>
          <w:color w:val="auto"/>
          <w:szCs w:val="32"/>
        </w:rPr>
        <w:t>件（详见附件1）；</w:t>
      </w:r>
    </w:p>
    <w:p>
      <w:pPr>
        <w:keepNext w:val="0"/>
        <w:keepLines w:val="0"/>
        <w:pageBreakBefore w:val="0"/>
        <w:widowControl/>
        <w:kinsoku/>
        <w:wordWrap/>
        <w:overflowPunct/>
        <w:topLinePunct w:val="0"/>
        <w:autoSpaceDE/>
        <w:autoSpaceDN/>
        <w:bidi w:val="0"/>
        <w:adjustRightInd/>
        <w:spacing w:line="540" w:lineRule="exact"/>
        <w:ind w:firstLine="697" w:firstLineChars="218"/>
        <w:textAlignment w:val="baseline"/>
        <w:rPr>
          <w:rStyle w:val="10"/>
          <w:rFonts w:hint="default" w:ascii="Times New Roman" w:hAnsi="Times New Roman" w:cs="Times New Roman"/>
          <w:color w:val="auto"/>
          <w:szCs w:val="32"/>
        </w:rPr>
      </w:pPr>
      <w:r>
        <w:rPr>
          <w:rStyle w:val="10"/>
          <w:rFonts w:hint="default" w:ascii="Times New Roman" w:hAnsi="Times New Roman" w:cs="Times New Roman"/>
          <w:color w:val="auto"/>
          <w:szCs w:val="32"/>
          <w:lang w:eastAsia="zh-CN"/>
        </w:rPr>
        <w:t>二</w:t>
      </w:r>
      <w:r>
        <w:rPr>
          <w:rStyle w:val="10"/>
          <w:rFonts w:hint="default" w:ascii="Times New Roman" w:hAnsi="Times New Roman" w:cs="Times New Roman"/>
          <w:color w:val="auto"/>
          <w:szCs w:val="32"/>
        </w:rPr>
        <w:t>、宣布失效（废止）的行政规范性文件</w:t>
      </w:r>
      <w:r>
        <w:rPr>
          <w:rStyle w:val="10"/>
          <w:rFonts w:hint="eastAsia" w:cs="Times New Roman"/>
          <w:color w:val="auto"/>
          <w:szCs w:val="32"/>
          <w:lang w:val="en-US" w:eastAsia="zh-CN"/>
        </w:rPr>
        <w:t>12</w:t>
      </w:r>
      <w:r>
        <w:rPr>
          <w:rStyle w:val="10"/>
          <w:rFonts w:hint="default" w:ascii="Times New Roman" w:hAnsi="Times New Roman" w:cs="Times New Roman"/>
          <w:color w:val="auto"/>
          <w:szCs w:val="32"/>
        </w:rPr>
        <w:t>件（详见附件</w:t>
      </w:r>
      <w:r>
        <w:rPr>
          <w:rStyle w:val="10"/>
          <w:rFonts w:hint="default" w:ascii="Times New Roman" w:hAnsi="Times New Roman" w:cs="Times New Roman"/>
          <w:color w:val="auto"/>
          <w:szCs w:val="32"/>
          <w:lang w:val="en-US" w:eastAsia="zh-CN"/>
        </w:rPr>
        <w:t>2</w:t>
      </w:r>
      <w:r>
        <w:rPr>
          <w:rStyle w:val="10"/>
          <w:rFonts w:hint="default" w:ascii="Times New Roman" w:hAnsi="Times New Roman" w:cs="Times New Roman"/>
          <w:color w:val="auto"/>
          <w:szCs w:val="32"/>
        </w:rPr>
        <w:t>）。</w:t>
      </w:r>
    </w:p>
    <w:p>
      <w:pPr>
        <w:keepNext w:val="0"/>
        <w:keepLines w:val="0"/>
        <w:pageBreakBefore w:val="0"/>
        <w:widowControl/>
        <w:kinsoku/>
        <w:wordWrap/>
        <w:overflowPunct/>
        <w:topLinePunct w:val="0"/>
        <w:autoSpaceDE/>
        <w:autoSpaceDN/>
        <w:bidi w:val="0"/>
        <w:adjustRightInd/>
        <w:spacing w:line="540" w:lineRule="exact"/>
        <w:ind w:firstLine="697" w:firstLineChars="218"/>
        <w:textAlignment w:val="baseline"/>
        <w:rPr>
          <w:rStyle w:val="10"/>
          <w:rFonts w:hint="default" w:ascii="Times New Roman" w:hAnsi="Times New Roman" w:cs="Times New Roman"/>
          <w:color w:val="auto"/>
          <w:szCs w:val="32"/>
        </w:rPr>
      </w:pPr>
      <w:r>
        <w:rPr>
          <w:rStyle w:val="10"/>
          <w:rFonts w:hint="default" w:ascii="Times New Roman" w:hAnsi="Times New Roman" w:cs="Times New Roman"/>
          <w:color w:val="auto"/>
          <w:szCs w:val="32"/>
        </w:rPr>
        <w:t>宣布失效或废止的行政规范性文件，自本通告公布之日起不再执行，不得作为行政管理依据。</w:t>
      </w:r>
    </w:p>
    <w:p>
      <w:pPr>
        <w:keepNext w:val="0"/>
        <w:keepLines w:val="0"/>
        <w:pageBreakBefore w:val="0"/>
        <w:widowControl/>
        <w:kinsoku/>
        <w:wordWrap/>
        <w:overflowPunct/>
        <w:topLinePunct w:val="0"/>
        <w:autoSpaceDE/>
        <w:autoSpaceDN/>
        <w:bidi w:val="0"/>
        <w:adjustRightInd/>
        <w:spacing w:line="540" w:lineRule="exact"/>
        <w:ind w:firstLine="697" w:firstLineChars="218"/>
        <w:textAlignment w:val="baseline"/>
        <w:rPr>
          <w:rStyle w:val="10"/>
          <w:rFonts w:hint="default" w:ascii="Times New Roman" w:hAnsi="Times New Roman" w:cs="Times New Roman"/>
          <w:color w:val="auto"/>
          <w:szCs w:val="32"/>
        </w:rPr>
      </w:pPr>
      <w:r>
        <w:rPr>
          <w:rStyle w:val="10"/>
          <w:rFonts w:hint="default" w:ascii="Times New Roman" w:hAnsi="Times New Roman" w:cs="Times New Roman"/>
          <w:color w:val="auto"/>
          <w:szCs w:val="32"/>
        </w:rPr>
        <w:t>特此通告。</w:t>
      </w:r>
    </w:p>
    <w:p>
      <w:pPr>
        <w:pStyle w:val="2"/>
        <w:keepNext w:val="0"/>
        <w:keepLines w:val="0"/>
        <w:pageBreakBefore w:val="0"/>
        <w:widowControl/>
        <w:kinsoku/>
        <w:wordWrap/>
        <w:overflowPunct/>
        <w:topLinePunct w:val="0"/>
        <w:autoSpaceDE/>
        <w:autoSpaceDN/>
        <w:bidi w:val="0"/>
        <w:adjustRightInd/>
        <w:spacing w:line="540" w:lineRule="exact"/>
        <w:textAlignment w:val="baseline"/>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pacing w:line="540" w:lineRule="exact"/>
        <w:ind w:left="1872" w:leftChars="235" w:hanging="1120"/>
        <w:textAlignment w:val="baseline"/>
        <w:rPr>
          <w:rFonts w:hint="default" w:ascii="Times New Roman" w:hAnsi="Times New Roman" w:cs="Times New Roman"/>
          <w:color w:val="auto"/>
        </w:rPr>
      </w:pPr>
      <w:r>
        <w:rPr>
          <w:rStyle w:val="10"/>
          <w:rFonts w:hint="default" w:ascii="Times New Roman" w:hAnsi="Times New Roman" w:cs="Times New Roman"/>
          <w:color w:val="auto"/>
          <w:szCs w:val="32"/>
        </w:rPr>
        <w:t>附件：</w:t>
      </w:r>
      <w:r>
        <w:rPr>
          <w:rStyle w:val="10"/>
          <w:rFonts w:hint="default" w:ascii="Times New Roman" w:hAnsi="Times New Roman" w:cs="Times New Roman"/>
          <w:color w:val="auto"/>
          <w:spacing w:val="-10"/>
          <w:szCs w:val="32"/>
        </w:rPr>
        <w:t>1．保留（继续有效）的行政规范性文件</w:t>
      </w:r>
      <w:r>
        <w:rPr>
          <w:rStyle w:val="10"/>
          <w:rFonts w:hint="default" w:ascii="Times New Roman" w:hAnsi="Times New Roman" w:cs="Times New Roman"/>
          <w:color w:val="auto"/>
          <w:szCs w:val="32"/>
          <w:lang w:val="en-US" w:eastAsia="zh-CN"/>
        </w:rPr>
        <w:t>目录</w:t>
      </w:r>
    </w:p>
    <w:p>
      <w:pPr>
        <w:keepNext w:val="0"/>
        <w:keepLines w:val="0"/>
        <w:pageBreakBefore w:val="0"/>
        <w:widowControl/>
        <w:kinsoku/>
        <w:wordWrap/>
        <w:overflowPunct/>
        <w:topLinePunct w:val="0"/>
        <w:autoSpaceDE/>
        <w:autoSpaceDN/>
        <w:bidi w:val="0"/>
        <w:adjustRightInd/>
        <w:spacing w:line="540" w:lineRule="exact"/>
        <w:textAlignment w:val="baseline"/>
        <w:rPr>
          <w:rStyle w:val="10"/>
          <w:rFonts w:hint="default" w:ascii="Times New Roman" w:hAnsi="Times New Roman" w:cs="Times New Roman"/>
          <w:color w:val="auto"/>
          <w:szCs w:val="32"/>
        </w:rPr>
      </w:pPr>
      <w:r>
        <w:rPr>
          <w:rStyle w:val="10"/>
          <w:rFonts w:hint="default" w:ascii="Times New Roman" w:hAnsi="Times New Roman" w:cs="Times New Roman"/>
          <w:color w:val="auto"/>
          <w:szCs w:val="32"/>
        </w:rPr>
        <w:t xml:space="preserve">           </w:t>
      </w:r>
      <w:r>
        <w:rPr>
          <w:rStyle w:val="10"/>
          <w:rFonts w:hint="default" w:ascii="Times New Roman" w:hAnsi="Times New Roman" w:cs="Times New Roman"/>
          <w:color w:val="auto"/>
          <w:szCs w:val="32"/>
          <w:lang w:val="en-US" w:eastAsia="zh-CN"/>
        </w:rPr>
        <w:t>2</w:t>
      </w:r>
      <w:r>
        <w:rPr>
          <w:rStyle w:val="10"/>
          <w:rFonts w:hint="default" w:ascii="Times New Roman" w:hAnsi="Times New Roman" w:cs="Times New Roman"/>
          <w:color w:val="auto"/>
          <w:spacing w:val="-10"/>
          <w:szCs w:val="32"/>
        </w:rPr>
        <w:t>．</w:t>
      </w:r>
      <w:r>
        <w:rPr>
          <w:rStyle w:val="10"/>
          <w:rFonts w:hint="default" w:ascii="Times New Roman" w:hAnsi="Times New Roman" w:cs="Times New Roman"/>
          <w:color w:val="auto"/>
          <w:szCs w:val="32"/>
        </w:rPr>
        <w:t>宣布失效（废止）的行政规范性文件目录</w:t>
      </w:r>
    </w:p>
    <w:p>
      <w:pPr>
        <w:keepNext w:val="0"/>
        <w:keepLines w:val="0"/>
        <w:pageBreakBefore w:val="0"/>
        <w:widowControl/>
        <w:kinsoku/>
        <w:wordWrap/>
        <w:overflowPunct/>
        <w:topLinePunct w:val="0"/>
        <w:autoSpaceDE/>
        <w:autoSpaceDN/>
        <w:bidi w:val="0"/>
        <w:adjustRightInd/>
        <w:spacing w:line="540" w:lineRule="exact"/>
        <w:textAlignment w:val="baseline"/>
        <w:rPr>
          <w:rStyle w:val="10"/>
          <w:rFonts w:hint="default" w:ascii="Times New Roman" w:hAnsi="Times New Roman" w:cs="Times New Roman"/>
          <w:color w:val="auto"/>
          <w:szCs w:val="32"/>
        </w:rPr>
      </w:pPr>
    </w:p>
    <w:p>
      <w:pPr>
        <w:keepNext w:val="0"/>
        <w:keepLines w:val="0"/>
        <w:pageBreakBefore w:val="0"/>
        <w:widowControl/>
        <w:kinsoku/>
        <w:wordWrap/>
        <w:overflowPunct/>
        <w:topLinePunct w:val="0"/>
        <w:autoSpaceDE/>
        <w:autoSpaceDN/>
        <w:bidi w:val="0"/>
        <w:adjustRightInd/>
        <w:spacing w:line="540" w:lineRule="exact"/>
        <w:textAlignment w:val="baseline"/>
        <w:rPr>
          <w:rStyle w:val="10"/>
          <w:rFonts w:hint="default" w:ascii="Times New Roman" w:hAnsi="Times New Roman" w:cs="Times New Roman"/>
          <w:color w:val="auto"/>
          <w:szCs w:val="32"/>
        </w:rPr>
      </w:pPr>
    </w:p>
    <w:p>
      <w:pPr>
        <w:keepNext w:val="0"/>
        <w:keepLines w:val="0"/>
        <w:pageBreakBefore w:val="0"/>
        <w:widowControl/>
        <w:kinsoku/>
        <w:wordWrap/>
        <w:overflowPunct/>
        <w:topLinePunct w:val="0"/>
        <w:autoSpaceDE/>
        <w:autoSpaceDN/>
        <w:bidi w:val="0"/>
        <w:adjustRightInd/>
        <w:spacing w:line="540" w:lineRule="exact"/>
        <w:ind w:right="640"/>
        <w:jc w:val="right"/>
        <w:textAlignment w:val="baseline"/>
        <w:rPr>
          <w:rStyle w:val="10"/>
          <w:rFonts w:hint="default" w:ascii="Times New Roman" w:hAnsi="Times New Roman" w:eastAsia="仿宋_GB2312" w:cs="Times New Roman"/>
          <w:color w:val="auto"/>
          <w:szCs w:val="32"/>
          <w:lang w:eastAsia="zh-CN"/>
        </w:rPr>
      </w:pPr>
      <w:r>
        <w:rPr>
          <w:rStyle w:val="10"/>
          <w:rFonts w:hint="default" w:ascii="Times New Roman" w:hAnsi="Times New Roman" w:cs="Times New Roman"/>
          <w:color w:val="auto"/>
          <w:szCs w:val="32"/>
          <w:lang w:val="en-US" w:eastAsia="zh-CN"/>
        </w:rPr>
        <w:t xml:space="preserve">  </w:t>
      </w:r>
      <w:r>
        <w:rPr>
          <w:rStyle w:val="10"/>
          <w:rFonts w:hint="default" w:ascii="Times New Roman" w:hAnsi="Times New Roman" w:cs="Times New Roman"/>
          <w:color w:val="auto"/>
          <w:szCs w:val="32"/>
        </w:rPr>
        <w:t>泉州台商投资区管理委员会</w:t>
      </w:r>
      <w:r>
        <w:rPr>
          <w:rStyle w:val="10"/>
          <w:rFonts w:hint="default" w:ascii="Times New Roman" w:hAnsi="Times New Roman" w:cs="Times New Roman"/>
          <w:color w:val="auto"/>
          <w:szCs w:val="32"/>
          <w:lang w:eastAsia="zh-CN"/>
        </w:rPr>
        <w:t>民生保障局</w:t>
      </w:r>
    </w:p>
    <w:p>
      <w:pPr>
        <w:keepNext w:val="0"/>
        <w:keepLines w:val="0"/>
        <w:pageBreakBefore w:val="0"/>
        <w:widowControl/>
        <w:kinsoku/>
        <w:wordWrap/>
        <w:overflowPunct/>
        <w:topLinePunct w:val="0"/>
        <w:autoSpaceDE/>
        <w:autoSpaceDN/>
        <w:bidi w:val="0"/>
        <w:adjustRightInd/>
        <w:spacing w:line="540" w:lineRule="exact"/>
        <w:jc w:val="center"/>
        <w:textAlignment w:val="baseline"/>
        <w:rPr>
          <w:rStyle w:val="10"/>
          <w:rFonts w:hint="default" w:ascii="Times New Roman" w:hAnsi="Times New Roman" w:cs="Times New Roman"/>
          <w:color w:val="auto"/>
          <w:szCs w:val="32"/>
        </w:rPr>
      </w:pPr>
      <w:r>
        <w:rPr>
          <w:rStyle w:val="10"/>
          <w:rFonts w:hint="default" w:ascii="Times New Roman" w:hAnsi="Times New Roman" w:cs="Times New Roman"/>
          <w:color w:val="auto"/>
          <w:szCs w:val="32"/>
        </w:rPr>
        <w:t xml:space="preserve">             </w:t>
      </w:r>
      <w:r>
        <w:rPr>
          <w:rStyle w:val="10"/>
          <w:rFonts w:hint="default" w:ascii="Times New Roman" w:hAnsi="Times New Roman" w:cs="Times New Roman"/>
          <w:color w:val="auto"/>
          <w:szCs w:val="32"/>
          <w:lang w:val="en-US" w:eastAsia="zh-CN"/>
        </w:rPr>
        <w:t xml:space="preserve">   </w:t>
      </w:r>
      <w:r>
        <w:rPr>
          <w:rStyle w:val="10"/>
          <w:rFonts w:hint="default" w:ascii="Times New Roman" w:hAnsi="Times New Roman" w:cs="Times New Roman"/>
          <w:color w:val="auto"/>
          <w:szCs w:val="32"/>
        </w:rPr>
        <w:t>202</w:t>
      </w:r>
      <w:r>
        <w:rPr>
          <w:rStyle w:val="10"/>
          <w:rFonts w:hint="default" w:ascii="Times New Roman" w:hAnsi="Times New Roman" w:cs="Times New Roman"/>
          <w:color w:val="auto"/>
          <w:szCs w:val="32"/>
          <w:lang w:val="en-US" w:eastAsia="zh-CN"/>
        </w:rPr>
        <w:t>5</w:t>
      </w:r>
      <w:r>
        <w:rPr>
          <w:rStyle w:val="10"/>
          <w:rFonts w:hint="default" w:ascii="Times New Roman" w:hAnsi="Times New Roman" w:cs="Times New Roman"/>
          <w:color w:val="auto"/>
          <w:szCs w:val="32"/>
        </w:rPr>
        <w:t>年</w:t>
      </w:r>
      <w:r>
        <w:rPr>
          <w:rStyle w:val="10"/>
          <w:rFonts w:hint="eastAsia" w:cs="Times New Roman"/>
          <w:color w:val="auto"/>
          <w:szCs w:val="32"/>
          <w:lang w:val="en-US" w:eastAsia="zh-CN"/>
        </w:rPr>
        <w:t xml:space="preserve"> </w:t>
      </w:r>
      <w:r>
        <w:rPr>
          <w:rStyle w:val="10"/>
          <w:rFonts w:hint="default" w:ascii="Times New Roman" w:hAnsi="Times New Roman" w:cs="Times New Roman"/>
          <w:color w:val="auto"/>
          <w:szCs w:val="32"/>
        </w:rPr>
        <w:t>月</w:t>
      </w:r>
      <w:r>
        <w:rPr>
          <w:rStyle w:val="10"/>
          <w:rFonts w:hint="default" w:ascii="Times New Roman" w:hAnsi="Times New Roman" w:cs="Times New Roman"/>
          <w:color w:val="auto"/>
          <w:szCs w:val="32"/>
          <w:lang w:val="en-US" w:eastAsia="zh-CN"/>
        </w:rPr>
        <w:t xml:space="preserve">  </w:t>
      </w:r>
      <w:r>
        <w:rPr>
          <w:rStyle w:val="10"/>
          <w:rFonts w:hint="default" w:ascii="Times New Roman" w:hAnsi="Times New Roman" w:cs="Times New Roman"/>
          <w:color w:val="auto"/>
          <w:szCs w:val="32"/>
        </w:rPr>
        <w:t>日</w:t>
      </w:r>
    </w:p>
    <w:p>
      <w:pPr>
        <w:pStyle w:val="2"/>
        <w:keepNext w:val="0"/>
        <w:keepLines w:val="0"/>
        <w:pageBreakBefore w:val="0"/>
        <w:widowControl/>
        <w:kinsoku/>
        <w:wordWrap/>
        <w:overflowPunct/>
        <w:topLinePunct w:val="0"/>
        <w:autoSpaceDE/>
        <w:autoSpaceDN/>
        <w:bidi w:val="0"/>
        <w:adjustRightInd/>
        <w:spacing w:line="540" w:lineRule="exact"/>
        <w:textAlignment w:val="baseline"/>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baseline"/>
        <w:rPr>
          <w:rFonts w:hint="default" w:ascii="Times New Roman" w:hAnsi="Times New Roman" w:cs="Times New Roman"/>
          <w:color w:val="auto"/>
          <w:szCs w:val="32"/>
        </w:rPr>
      </w:pPr>
      <w:r>
        <w:rPr>
          <w:rFonts w:hint="default" w:ascii="Times New Roman" w:hAnsi="Times New Roman" w:cs="Times New Roman"/>
          <w:color w:val="auto"/>
          <w:szCs w:val="32"/>
        </w:rPr>
        <w:t>（此件主动公开）</w:t>
      </w:r>
    </w:p>
    <w:p>
      <w:pPr>
        <w:pStyle w:val="2"/>
        <w:keepNext w:val="0"/>
        <w:keepLines w:val="0"/>
        <w:pageBreakBefore w:val="0"/>
        <w:kinsoku/>
        <w:wordWrap/>
        <w:overflowPunct/>
        <w:topLinePunct w:val="0"/>
        <w:autoSpaceDE/>
        <w:autoSpaceDN/>
        <w:bidi w:val="0"/>
        <w:spacing w:line="58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pStyle w:val="2"/>
        <w:keepNext w:val="0"/>
        <w:keepLines w:val="0"/>
        <w:pageBreakBefore w:val="0"/>
        <w:kinsoku/>
        <w:wordWrap/>
        <w:overflowPunct/>
        <w:topLinePunct w:val="0"/>
        <w:autoSpaceDE/>
        <w:autoSpaceDN/>
        <w:bidi w:val="0"/>
        <w:spacing w:line="580" w:lineRule="exact"/>
        <w:rPr>
          <w:rFonts w:hint="default" w:ascii="Times New Roman" w:hAnsi="Times New Roman" w:eastAsia="黑体" w:cs="Times New Roman"/>
          <w:color w:val="auto"/>
          <w:lang w:val="en-US"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baseline"/>
        <w:rPr>
          <w:rStyle w:val="10"/>
          <w:rFonts w:hint="default" w:ascii="Times New Roman" w:hAnsi="Times New Roman" w:eastAsia="方正小标宋简体" w:cs="Times New Roman"/>
          <w:color w:val="auto"/>
          <w:spacing w:val="-10"/>
          <w:sz w:val="44"/>
          <w:szCs w:val="44"/>
        </w:rPr>
      </w:pPr>
      <w:r>
        <w:rPr>
          <w:rStyle w:val="10"/>
          <w:rFonts w:hint="default" w:ascii="Times New Roman" w:hAnsi="Times New Roman" w:eastAsia="方正小标宋简体" w:cs="Times New Roman"/>
          <w:color w:val="auto"/>
          <w:spacing w:val="-10"/>
          <w:sz w:val="44"/>
          <w:szCs w:val="44"/>
        </w:rPr>
        <w:t>保留（继续有效）的行政规范性文件目录</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baseline"/>
        <w:rPr>
          <w:rStyle w:val="10"/>
          <w:rFonts w:hint="default" w:ascii="Times New Roman" w:hAnsi="Times New Roman" w:eastAsia="方正小标宋简体" w:cs="Times New Roman"/>
          <w:color w:val="auto"/>
          <w:spacing w:val="-10"/>
          <w:sz w:val="44"/>
          <w:szCs w:val="44"/>
          <w:lang w:eastAsia="zh-CN"/>
        </w:rPr>
      </w:pPr>
      <w:r>
        <w:rPr>
          <w:rStyle w:val="10"/>
          <w:rFonts w:hint="default" w:ascii="Times New Roman" w:hAnsi="Times New Roman" w:eastAsia="方正小标宋简体" w:cs="Times New Roman"/>
          <w:color w:val="auto"/>
          <w:spacing w:val="-10"/>
          <w:sz w:val="44"/>
          <w:szCs w:val="44"/>
          <w:lang w:eastAsia="zh-CN"/>
        </w:rPr>
        <w:t>（共</w:t>
      </w:r>
      <w:r>
        <w:rPr>
          <w:rStyle w:val="10"/>
          <w:rFonts w:hint="default" w:ascii="Times New Roman" w:hAnsi="Times New Roman" w:eastAsia="方正小标宋简体" w:cs="Times New Roman"/>
          <w:color w:val="auto"/>
          <w:spacing w:val="-10"/>
          <w:sz w:val="44"/>
          <w:szCs w:val="44"/>
          <w:lang w:val="en-US" w:eastAsia="zh-CN"/>
        </w:rPr>
        <w:t>17件</w:t>
      </w:r>
      <w:r>
        <w:rPr>
          <w:rStyle w:val="10"/>
          <w:rFonts w:hint="default" w:ascii="Times New Roman" w:hAnsi="Times New Roman" w:eastAsia="方正小标宋简体" w:cs="Times New Roman"/>
          <w:color w:val="auto"/>
          <w:spacing w:val="-10"/>
          <w:sz w:val="44"/>
          <w:szCs w:val="44"/>
          <w:lang w:eastAsia="zh-CN"/>
        </w:rPr>
        <w:t>）</w:t>
      </w:r>
    </w:p>
    <w:tbl>
      <w:tblPr>
        <w:tblStyle w:val="6"/>
        <w:tblpPr w:leftFromText="180" w:rightFromText="180" w:vertAnchor="text" w:horzAnchor="page" w:tblpX="1542" w:tblpY="59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864"/>
        <w:gridCol w:w="5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序号</w:t>
            </w:r>
          </w:p>
        </w:tc>
        <w:tc>
          <w:tcPr>
            <w:tcW w:w="1580"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文号</w:t>
            </w:r>
          </w:p>
        </w:tc>
        <w:tc>
          <w:tcPr>
            <w:tcW w:w="2952"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w:t>
            </w:r>
          </w:p>
        </w:tc>
        <w:tc>
          <w:tcPr>
            <w:tcW w:w="1580"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泉台管民生〔2018〕190号</w:t>
            </w:r>
          </w:p>
        </w:tc>
        <w:tc>
          <w:tcPr>
            <w:tcW w:w="2952"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关于印发泉州台商投资区城乡低保一体化工作实施方案的通知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2</w:t>
            </w:r>
          </w:p>
        </w:tc>
        <w:tc>
          <w:tcPr>
            <w:tcW w:w="1580"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泉台管民生〔2019〕14号</w:t>
            </w:r>
          </w:p>
        </w:tc>
        <w:tc>
          <w:tcPr>
            <w:tcW w:w="2952"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关于调整城乡居民基本养老保险缴费标准等有关事项的通知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3</w:t>
            </w:r>
          </w:p>
        </w:tc>
        <w:tc>
          <w:tcPr>
            <w:tcW w:w="1580"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i w:val="0"/>
                <w:iCs w:val="0"/>
                <w:color w:val="auto"/>
                <w:kern w:val="0"/>
                <w:sz w:val="21"/>
                <w:szCs w:val="21"/>
                <w:u w:val="none"/>
                <w:lang w:val="en-US" w:eastAsia="zh-CN" w:bidi="ar"/>
              </w:rPr>
              <w:t>泉台管民生〔2019〕27号</w:t>
            </w:r>
          </w:p>
        </w:tc>
        <w:tc>
          <w:tcPr>
            <w:tcW w:w="2952"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i w:val="0"/>
                <w:iCs w:val="0"/>
                <w:color w:val="auto"/>
                <w:kern w:val="0"/>
                <w:sz w:val="21"/>
                <w:szCs w:val="21"/>
                <w:u w:val="none"/>
                <w:lang w:val="en-US" w:eastAsia="zh-CN" w:bidi="ar"/>
              </w:rPr>
              <w:t>关于进一步加强医疗机构院外购药管理的通知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4</w:t>
            </w:r>
          </w:p>
        </w:tc>
        <w:tc>
          <w:tcPr>
            <w:tcW w:w="15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泉台管民生〔2020〕22号</w:t>
            </w:r>
          </w:p>
        </w:tc>
        <w:tc>
          <w:tcPr>
            <w:tcW w:w="29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关于进一步规范宗教界收留孤儿、弃婴工作的通知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5</w:t>
            </w:r>
          </w:p>
        </w:tc>
        <w:tc>
          <w:tcPr>
            <w:tcW w:w="1580"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泉台管民生〔2020〕40号</w:t>
            </w:r>
          </w:p>
        </w:tc>
        <w:tc>
          <w:tcPr>
            <w:tcW w:w="2952"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关于进一步健全农村殡葬监管机制的通知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6</w:t>
            </w:r>
          </w:p>
        </w:tc>
        <w:tc>
          <w:tcPr>
            <w:tcW w:w="1580"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i w:val="0"/>
                <w:iCs w:val="0"/>
                <w:color w:val="auto"/>
                <w:kern w:val="0"/>
                <w:sz w:val="21"/>
                <w:szCs w:val="21"/>
                <w:u w:val="none"/>
                <w:lang w:val="en-US" w:eastAsia="zh-CN" w:bidi="ar"/>
              </w:rPr>
              <w:t>泉台管民生〔2020〕54号</w:t>
            </w:r>
          </w:p>
        </w:tc>
        <w:tc>
          <w:tcPr>
            <w:tcW w:w="2952"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关于印发落实婚事新办及文明治丧工作方案的通知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7</w:t>
            </w:r>
          </w:p>
        </w:tc>
        <w:tc>
          <w:tcPr>
            <w:tcW w:w="1580"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i w:val="0"/>
                <w:iCs w:val="0"/>
                <w:color w:val="auto"/>
                <w:kern w:val="0"/>
                <w:sz w:val="21"/>
                <w:szCs w:val="21"/>
                <w:u w:val="none"/>
                <w:lang w:val="en-US" w:eastAsia="zh-CN" w:bidi="ar"/>
              </w:rPr>
              <w:t>泉台管民生〔2020〕81号</w:t>
            </w:r>
          </w:p>
        </w:tc>
        <w:tc>
          <w:tcPr>
            <w:tcW w:w="2952"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关于进一步加强和规范骨灰管理工作的通知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8</w:t>
            </w:r>
          </w:p>
        </w:tc>
        <w:tc>
          <w:tcPr>
            <w:tcW w:w="1580"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i w:val="0"/>
                <w:iCs w:val="0"/>
                <w:color w:val="auto"/>
                <w:kern w:val="0"/>
                <w:sz w:val="21"/>
                <w:szCs w:val="21"/>
                <w:u w:val="none"/>
                <w:lang w:val="en-US" w:eastAsia="zh-CN" w:bidi="ar"/>
              </w:rPr>
              <w:t>泉台管民生规〔2022〕3号</w:t>
            </w:r>
          </w:p>
        </w:tc>
        <w:tc>
          <w:tcPr>
            <w:tcW w:w="2952"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泉州台商投资区妇女工作委员会关于设立村民委员会妇女和儿童工作委员会的通知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9</w:t>
            </w:r>
          </w:p>
        </w:tc>
        <w:tc>
          <w:tcPr>
            <w:tcW w:w="1580"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i w:val="0"/>
                <w:iCs w:val="0"/>
                <w:color w:val="auto"/>
                <w:kern w:val="0"/>
                <w:sz w:val="21"/>
                <w:szCs w:val="21"/>
                <w:u w:val="none"/>
                <w:lang w:val="en-US" w:eastAsia="zh-CN" w:bidi="ar"/>
              </w:rPr>
              <w:t>泉台管民生规〔2022〕4号</w:t>
            </w:r>
          </w:p>
        </w:tc>
        <w:tc>
          <w:tcPr>
            <w:tcW w:w="2952" w:type="pct"/>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泉州台商投资区党工委党群工作部 泉州台商投资区管理委员会财政金融与国资局 泉州市医疗保障局台商投资区分局关于印发《泉州台商投资区深化公立医院薪酬制度改革实施方案》的通知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10</w:t>
            </w:r>
          </w:p>
        </w:tc>
        <w:tc>
          <w:tcPr>
            <w:tcW w:w="15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泉台管民生规〔2022〕5号</w:t>
            </w:r>
          </w:p>
        </w:tc>
        <w:tc>
          <w:tcPr>
            <w:tcW w:w="29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泉州台商投资区管理委员会财政金融与国资局关于调整部分优抚对象等人员抚恤和生活补助标准的通知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11</w:t>
            </w:r>
          </w:p>
        </w:tc>
        <w:tc>
          <w:tcPr>
            <w:tcW w:w="15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泉台管民生规〔2023〕7号</w:t>
            </w:r>
          </w:p>
        </w:tc>
        <w:tc>
          <w:tcPr>
            <w:tcW w:w="29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泉州台商投资区管理委员会财政金融与国资局关于发放落户奖励和社保补助等事项的通知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12</w:t>
            </w:r>
          </w:p>
        </w:tc>
        <w:tc>
          <w:tcPr>
            <w:tcW w:w="15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泉台管民生规〔2023〕8号</w:t>
            </w:r>
          </w:p>
        </w:tc>
        <w:tc>
          <w:tcPr>
            <w:tcW w:w="29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泉州台商投资区民生保障局关于印发泉州台商投资区医疗质量控制中心（小组）管理办法（试行）的通知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13</w:t>
            </w:r>
          </w:p>
        </w:tc>
        <w:tc>
          <w:tcPr>
            <w:tcW w:w="15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泉台管民生规〔2023〕11号</w:t>
            </w:r>
          </w:p>
        </w:tc>
        <w:tc>
          <w:tcPr>
            <w:tcW w:w="29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去泉州台商投资区管理委员会财政金融与国资局关于进一步加强和改进临时救助工作的实施意见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14</w:t>
            </w:r>
          </w:p>
        </w:tc>
        <w:tc>
          <w:tcPr>
            <w:tcW w:w="15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泉台管民生规〔2023〕12号</w:t>
            </w:r>
          </w:p>
        </w:tc>
        <w:tc>
          <w:tcPr>
            <w:tcW w:w="29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泉州台商投资区管理委员会财政金融与国资局关于做好“十四五”期间残疾人两项补贴工作的通知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15</w:t>
            </w:r>
          </w:p>
        </w:tc>
        <w:tc>
          <w:tcPr>
            <w:tcW w:w="15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泉台管民生规〔2024〕1号</w:t>
            </w:r>
          </w:p>
        </w:tc>
        <w:tc>
          <w:tcPr>
            <w:tcW w:w="29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泉州台商投资区管理委员会民生保障局等6部门关于印发《泉州台商投资区加强乡村医生队伍建设五年行动（2024-2028年）实施方案》的通知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16</w:t>
            </w:r>
          </w:p>
        </w:tc>
        <w:tc>
          <w:tcPr>
            <w:tcW w:w="15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泉台管民生〔2024〕53号</w:t>
            </w:r>
          </w:p>
        </w:tc>
        <w:tc>
          <w:tcPr>
            <w:tcW w:w="29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泉州台商投资区管理委员会财政金融与国资局关于进一步做好公益性岗位开发和管理工作的通知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466" w:type="pct"/>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17</w:t>
            </w:r>
          </w:p>
        </w:tc>
        <w:tc>
          <w:tcPr>
            <w:tcW w:w="15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泉台管民生规〔2024〕3号</w:t>
            </w:r>
          </w:p>
        </w:tc>
        <w:tc>
          <w:tcPr>
            <w:tcW w:w="295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泉州台商投资区管理委员会财政金融与国资局关于印发《泉州台商投资区就业见习工作管理办法》的通知</w:t>
            </w:r>
          </w:p>
        </w:tc>
      </w:tr>
    </w:tbl>
    <w:p>
      <w:pPr>
        <w:pStyle w:val="2"/>
        <w:keepNext w:val="0"/>
        <w:keepLines w:val="0"/>
        <w:pageBreakBefore w:val="0"/>
        <w:kinsoku/>
        <w:wordWrap/>
        <w:overflowPunct/>
        <w:topLinePunct w:val="0"/>
        <w:autoSpaceDE/>
        <w:autoSpaceDN/>
        <w:bidi w:val="0"/>
        <w:spacing w:line="580" w:lineRule="exact"/>
        <w:rPr>
          <w:rFonts w:hint="default" w:ascii="Times New Roman" w:hAnsi="Times New Roman" w:cs="Times New Roman"/>
          <w:color w:val="auto"/>
        </w:rPr>
      </w:pPr>
    </w:p>
    <w:p>
      <w:pPr>
        <w:pStyle w:val="2"/>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pStyle w:val="2"/>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eastAsia="黑体" w:cs="Times New Roman"/>
          <w:color w:val="auto"/>
          <w:lang w:val="en-US"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baseline"/>
        <w:rPr>
          <w:rStyle w:val="10"/>
          <w:rFonts w:hint="default" w:ascii="Times New Roman" w:hAnsi="Times New Roman" w:eastAsia="方正小标宋简体" w:cs="Times New Roman"/>
          <w:color w:val="auto"/>
          <w:spacing w:val="-10"/>
          <w:sz w:val="44"/>
          <w:szCs w:val="44"/>
          <w:lang w:val="en-US" w:eastAsia="zh-CN"/>
        </w:rPr>
      </w:pPr>
      <w:r>
        <w:rPr>
          <w:rStyle w:val="10"/>
          <w:rFonts w:hint="default" w:ascii="Times New Roman" w:hAnsi="Times New Roman" w:eastAsia="方正小标宋简体" w:cs="Times New Roman"/>
          <w:color w:val="auto"/>
          <w:spacing w:val="-10"/>
          <w:sz w:val="44"/>
          <w:szCs w:val="44"/>
        </w:rPr>
        <w:t>宣布失效（废止）的行政规范性文件目录</w:t>
      </w:r>
      <w:r>
        <w:rPr>
          <w:rStyle w:val="10"/>
          <w:rFonts w:hint="default" w:ascii="Times New Roman" w:hAnsi="Times New Roman" w:eastAsia="方正小标宋简体" w:cs="Times New Roman"/>
          <w:color w:val="auto"/>
          <w:spacing w:val="-10"/>
          <w:sz w:val="44"/>
          <w:szCs w:val="44"/>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baseline"/>
        <w:rPr>
          <w:rStyle w:val="10"/>
          <w:rFonts w:hint="default" w:ascii="Times New Roman" w:hAnsi="Times New Roman" w:eastAsia="方正小标宋简体" w:cs="Times New Roman"/>
          <w:color w:val="auto"/>
          <w:spacing w:val="-10"/>
          <w:sz w:val="44"/>
          <w:szCs w:val="44"/>
          <w:lang w:eastAsia="zh-CN"/>
        </w:rPr>
      </w:pPr>
      <w:r>
        <w:rPr>
          <w:rStyle w:val="10"/>
          <w:rFonts w:hint="default" w:ascii="Times New Roman" w:hAnsi="Times New Roman" w:eastAsia="方正小标宋简体" w:cs="Times New Roman"/>
          <w:color w:val="auto"/>
          <w:spacing w:val="-10"/>
          <w:sz w:val="44"/>
          <w:szCs w:val="44"/>
          <w:lang w:eastAsia="zh-CN"/>
        </w:rPr>
        <w:t>（共</w:t>
      </w:r>
      <w:r>
        <w:rPr>
          <w:rStyle w:val="10"/>
          <w:rFonts w:hint="default" w:ascii="Times New Roman" w:hAnsi="Times New Roman" w:eastAsia="方正小标宋简体" w:cs="Times New Roman"/>
          <w:color w:val="auto"/>
          <w:spacing w:val="-10"/>
          <w:sz w:val="44"/>
          <w:szCs w:val="44"/>
          <w:lang w:val="en-US" w:eastAsia="zh-CN"/>
        </w:rPr>
        <w:t>12件</w:t>
      </w:r>
      <w:r>
        <w:rPr>
          <w:rStyle w:val="10"/>
          <w:rFonts w:hint="default" w:ascii="Times New Roman" w:hAnsi="Times New Roman" w:eastAsia="方正小标宋简体" w:cs="Times New Roman"/>
          <w:color w:val="auto"/>
          <w:spacing w:val="-10"/>
          <w:sz w:val="44"/>
          <w:szCs w:val="44"/>
          <w:lang w:eastAsia="zh-CN"/>
        </w:rPr>
        <w:t>）</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baseline"/>
        <w:rPr>
          <w:rStyle w:val="10"/>
          <w:rFonts w:hint="default" w:ascii="Times New Roman" w:hAnsi="Times New Roman" w:eastAsia="方正小标宋简体" w:cs="Times New Roman"/>
          <w:color w:val="auto"/>
          <w:spacing w:val="-10"/>
          <w:sz w:val="44"/>
          <w:szCs w:val="44"/>
          <w:lang w:eastAsia="zh-CN"/>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617"/>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95"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黑体" w:cs="Times New Roman"/>
                <w:b/>
                <w:bCs/>
                <w:color w:val="auto"/>
                <w:kern w:val="2"/>
                <w:sz w:val="28"/>
                <w:szCs w:val="28"/>
                <w:vertAlign w:val="baseline"/>
                <w:lang w:val="en-US" w:eastAsia="zh-CN" w:bidi="ar-SA"/>
              </w:rPr>
            </w:pPr>
            <w:r>
              <w:rPr>
                <w:rFonts w:hint="default" w:ascii="Times New Roman" w:hAnsi="Times New Roman" w:eastAsia="黑体" w:cs="Times New Roman"/>
                <w:b/>
                <w:bCs/>
                <w:color w:val="auto"/>
                <w:sz w:val="28"/>
                <w:szCs w:val="28"/>
                <w:vertAlign w:val="baseline"/>
                <w:lang w:val="en-US" w:eastAsia="zh-CN"/>
              </w:rPr>
              <w:t>序号</w:t>
            </w:r>
          </w:p>
        </w:tc>
        <w:tc>
          <w:tcPr>
            <w:tcW w:w="1444"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黑体" w:cs="Times New Roman"/>
                <w:b/>
                <w:bCs/>
                <w:color w:val="auto"/>
                <w:kern w:val="2"/>
                <w:sz w:val="28"/>
                <w:szCs w:val="28"/>
                <w:vertAlign w:val="baseline"/>
                <w:lang w:val="en-US" w:eastAsia="zh-CN" w:bidi="ar-SA"/>
              </w:rPr>
            </w:pPr>
            <w:r>
              <w:rPr>
                <w:rFonts w:hint="default" w:ascii="Times New Roman" w:hAnsi="Times New Roman" w:eastAsia="黑体" w:cs="Times New Roman"/>
                <w:b/>
                <w:bCs/>
                <w:color w:val="auto"/>
                <w:sz w:val="28"/>
                <w:szCs w:val="28"/>
                <w:vertAlign w:val="baseline"/>
                <w:lang w:val="en-US" w:eastAsia="zh-CN"/>
              </w:rPr>
              <w:t>文号</w:t>
            </w:r>
          </w:p>
        </w:tc>
        <w:tc>
          <w:tcPr>
            <w:tcW w:w="3060" w:type="pct"/>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520" w:lineRule="exact"/>
              <w:jc w:val="center"/>
              <w:rPr>
                <w:rFonts w:hint="default" w:ascii="Times New Roman" w:hAnsi="Times New Roman" w:eastAsia="黑体" w:cs="Times New Roman"/>
                <w:b/>
                <w:bCs/>
                <w:color w:val="auto"/>
                <w:kern w:val="2"/>
                <w:sz w:val="28"/>
                <w:szCs w:val="28"/>
                <w:vertAlign w:val="baseline"/>
                <w:lang w:val="en-US" w:eastAsia="zh-CN" w:bidi="ar-SA"/>
              </w:rPr>
            </w:pPr>
            <w:r>
              <w:rPr>
                <w:rFonts w:hint="default" w:ascii="Times New Roman" w:hAnsi="Times New Roman" w:eastAsia="黑体" w:cs="Times New Roman"/>
                <w:b/>
                <w:bCs/>
                <w:color w:val="auto"/>
                <w:sz w:val="28"/>
                <w:szCs w:val="28"/>
                <w:vertAlign w:val="baseline"/>
                <w:lang w:val="en-US"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1</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泉台管民生〔2018〕337号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泉州台商投资区管理委员会财政局关于印发《泉州台商投资区基层养老救助协理员岗位购买实施方案》的通知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2</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泉台管民生〔2020〕8号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关于调整部分优抚对象等人员抚恤和生活补助标准的通知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3</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泉台管民生〔2020〕50号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关于发放文明治丧基本殡葬服务费的通知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4</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泉台管民生〔2020〕53号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关于印发实施养老贴心工程加快补齐养老事业短板2020年行动方案的通知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5</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泉台管民生〔2020〕62号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关于印发农村幸福院运营质量专项治理实施方案的通知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6</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泉台管民生〔2020〕97号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关于印发泉州台商投资区困难老年人家庭适老化改造实施方案的通知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7</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泉台管民生规〔2024〕2号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泉州台商投资区管理委员会民生保障局关于公布行政规范性文件清理结果的通告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8</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泉台管民生〔2024〕4号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泉州台商投资区管理委员会财政金融与国资局 泉州台商投资区管理委员会科技经济发展局 泉州台商投资区总工会关于印发《泉州台商投资区2024年助企稳岗促发展十条措施》的通知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9</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泉台管民生〔2024〕9号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泉州台商投资区管理委员会财政金融与国资局 泉州台商投资区管理委员会科级经济发展局关于发放2024年助企稳岗促发展相关补贴的通知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10</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泉台管民生〔2024〕29号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泉州台商投资区管理委员会民生保障局关于开展2023年度企业劳动保障守法诚信等级评价工作的通知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11</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泉台管民生〔2024〕32号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泉州台商投资区管理委员会财政金融与国资局 关于组织推荐我区申报2024年度省级技能大师工作室的通知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95" w:type="pct"/>
            <w:vAlign w:val="center"/>
          </w:tcPr>
          <w:p>
            <w:pPr>
              <w:pStyle w:val="2"/>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12</w:t>
            </w:r>
          </w:p>
        </w:tc>
        <w:tc>
          <w:tcPr>
            <w:tcW w:w="144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泉台管民生〔2024〕44号</w:t>
            </w:r>
          </w:p>
        </w:tc>
        <w:tc>
          <w:tcPr>
            <w:tcW w:w="30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泉州台商投资区管理委员会民生保障局 泉州台商投资区管理委员会财政金融与国资局关于做好2024年吸纳中西部脱贫人口跨省就业奖补申报工作的通知</w:t>
            </w:r>
          </w:p>
        </w:tc>
      </w:tr>
    </w:tbl>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textAlignment w:val="auto"/>
        <w:rPr>
          <w:rFonts w:hint="default" w:ascii="Times New Roman" w:hAnsi="Times New Roman" w:cs="Times New Roman"/>
          <w:color w:val="auto"/>
          <w:sz w:val="28"/>
          <w:szCs w:val="28"/>
        </w:rPr>
      </w:pPr>
    </w:p>
    <w:p>
      <w:pPr>
        <w:keepNext w:val="0"/>
        <w:keepLines w:val="0"/>
        <w:pageBreakBefore w:val="0"/>
        <w:widowControl w:val="0"/>
        <w:tabs>
          <w:tab w:val="left" w:pos="7371"/>
          <w:tab w:val="left" w:pos="7513"/>
        </w:tabs>
        <w:kinsoku/>
        <w:wordWrap/>
        <w:overflowPunct/>
        <w:topLinePunct w:val="0"/>
        <w:autoSpaceDE/>
        <w:autoSpaceDN/>
        <w:bidi w:val="0"/>
        <w:spacing w:line="580" w:lineRule="exact"/>
        <w:ind w:right="320" w:rightChars="100" w:firstLine="320" w:firstLineChars="100"/>
        <w:textAlignment w:val="auto"/>
        <w:rPr>
          <w:rFonts w:hint="default" w:ascii="Times New Roman" w:hAnsi="Times New Roman" w:cs="Times New Roman"/>
          <w:color w:val="auto"/>
        </w:rPr>
      </w:pPr>
    </w:p>
    <w:sectPr>
      <w:footerReference r:id="rId3" w:type="default"/>
      <w:pgSz w:w="11906" w:h="16838"/>
      <w:pgMar w:top="192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default" w:ascii="Times New Roman" w:hAnsi="Times New Roman" w:eastAsia="仿宋_GB2312" w:cs="Times New Roman"/>
        <w:b w:val="0"/>
        <w:bCs/>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ODhmNDA5NmMzZmMyYjU4OGM4ZTFjYWJiZDdmM2QifQ=="/>
  </w:docVars>
  <w:rsids>
    <w:rsidRoot w:val="00172A27"/>
    <w:rsid w:val="14FBB332"/>
    <w:rsid w:val="28357A8F"/>
    <w:rsid w:val="35BEA644"/>
    <w:rsid w:val="3A7727CE"/>
    <w:rsid w:val="3CC21D0A"/>
    <w:rsid w:val="3F7F7598"/>
    <w:rsid w:val="5B3F586F"/>
    <w:rsid w:val="65B566E6"/>
    <w:rsid w:val="777F7F02"/>
    <w:rsid w:val="7F7A56E0"/>
    <w:rsid w:val="7FEFD123"/>
    <w:rsid w:val="7FFF1E23"/>
    <w:rsid w:val="B8FF7121"/>
    <w:rsid w:val="CFAFBEF9"/>
    <w:rsid w:val="EBEFC925"/>
    <w:rsid w:val="EFF74196"/>
    <w:rsid w:val="F6FF0AA1"/>
    <w:rsid w:val="F796AABB"/>
    <w:rsid w:val="FF1F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footer"/>
    <w:basedOn w:val="1"/>
    <w:qFormat/>
    <w:uiPriority w:val="0"/>
    <w:pPr>
      <w:tabs>
        <w:tab w:val="center" w:pos="4153"/>
        <w:tab w:val="right" w:pos="8306"/>
      </w:tabs>
      <w:snapToGrid w:val="0"/>
      <w:jc w:val="left"/>
    </w:pPr>
    <w:rPr>
      <w:rFonts w:asciiTheme="minorAscii" w:hAnsiTheme="minorAscii"/>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cs="Times New Roman"/>
    </w:rPr>
  </w:style>
  <w:style w:type="paragraph" w:styleId="9">
    <w:name w:val="No Spacing"/>
    <w:qFormat/>
    <w:uiPriority w:val="1"/>
    <w:pPr>
      <w:adjustRightInd w:val="0"/>
      <w:snapToGrid w:val="0"/>
      <w:spacing w:after="0" w:line="240" w:lineRule="auto"/>
    </w:pPr>
    <w:rPr>
      <w:rFonts w:ascii="Tahoma" w:hAnsi="Tahoma" w:eastAsia="微软雅黑" w:cs="宋体"/>
      <w:sz w:val="22"/>
      <w:szCs w:val="22"/>
      <w:lang w:val="en-US" w:eastAsia="zh-CN" w:bidi="ar-SA"/>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0</Words>
  <Characters>0</Characters>
  <Lines>0</Lines>
  <Paragraphs>0</Paragraphs>
  <TotalTime>29</TotalTime>
  <ScaleCrop>false</ScaleCrop>
  <LinksUpToDate>false</LinksUpToDate>
  <CharactersWithSpaces>0</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伸ˆ伸懒腰</dc:creator>
  <cp:lastModifiedBy>user</cp:lastModifiedBy>
  <cp:lastPrinted>2024-10-22T11:29:00Z</cp:lastPrinted>
  <dcterms:modified xsi:type="dcterms:W3CDTF">2025-08-05T17:33:15Z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46D876A75958DD31D2368768C1F9E24D</vt:lpwstr>
  </property>
</Properties>
</file>