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A5F4E">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560" w:lineRule="exact"/>
        <w:ind w:left="0" w:right="0" w:firstLine="0"/>
        <w:jc w:val="center"/>
        <w:textAlignment w:val="auto"/>
        <w:rPr>
          <w:rFonts w:hint="eastAsia" w:ascii="宋体" w:hAnsi="宋体" w:eastAsia="方正小标宋简体" w:cs="宋体"/>
          <w:i w:val="0"/>
          <w:iCs w:val="0"/>
          <w:caps w:val="0"/>
          <w:color w:val="333333"/>
          <w:spacing w:val="0"/>
          <w:sz w:val="24"/>
          <w:szCs w:val="24"/>
          <w:lang w:eastAsia="zh-CN"/>
        </w:rPr>
      </w:pPr>
      <w:r>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t>惠安县洛阳镇人民政府</w:t>
      </w: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rPr>
        <w:t>2024年度行政规范性文件清理结果</w:t>
      </w: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eastAsia="zh-CN"/>
        </w:rPr>
        <w:t>（征求意见稿）</w:t>
      </w:r>
    </w:p>
    <w:p w14:paraId="10A938C3">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各行政村、镇直镇属各部门：</w:t>
      </w:r>
    </w:p>
    <w:p w14:paraId="65DAE345">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根据《福建省行政规范性文件备案审查办法》（福建省人民政府令</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
        </w:rPr>
        <w:t>219</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号）和《泉州市人民政府关于印发泉州市行政规范性文件管理规定的通知》（泉政规〔</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
        </w:rPr>
        <w:t>2022</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
        </w:rPr>
        <w:t>3</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号）的有关规定，我镇对</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
        </w:rPr>
        <w:t>2023</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年</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
        </w:rPr>
        <w:t>12</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月</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
        </w:rPr>
        <w:t>31</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日前以我镇名义发布的</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
        </w:rPr>
        <w:t>7</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件现行有效的行政规范性文件进行清理，并经党委扩大会研究通过。现将清理结果公布如下：</w:t>
      </w:r>
    </w:p>
    <w:p w14:paraId="416370D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一、保留（继续有效）的行政规范性文件</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
        </w:rPr>
        <w:t>3</w:t>
      </w:r>
      <w:r>
        <w:rPr>
          <w:rFonts w:hint="eastAsia" w:ascii="仿宋_GB2312" w:hAnsi="仿宋_GB2312" w:eastAsia="仿宋_GB2312" w:cs="仿宋_GB2312"/>
          <w:i w:val="0"/>
          <w:iCs w:val="0"/>
          <w:caps w:val="0"/>
          <w:color w:val="333333"/>
          <w:spacing w:val="0"/>
          <w:sz w:val="32"/>
          <w:szCs w:val="32"/>
          <w:shd w:val="clear" w:color="auto" w:fill="FFFFFF"/>
        </w:rPr>
        <w:t>件（详见附件</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
        </w:rPr>
        <w:t>1</w:t>
      </w:r>
      <w:r>
        <w:rPr>
          <w:rFonts w:hint="eastAsia" w:ascii="仿宋_GB2312" w:hAnsi="仿宋_GB2312" w:eastAsia="仿宋_GB2312" w:cs="仿宋_GB2312"/>
          <w:i w:val="0"/>
          <w:iCs w:val="0"/>
          <w:caps w:val="0"/>
          <w:color w:val="333333"/>
          <w:spacing w:val="0"/>
          <w:sz w:val="32"/>
          <w:szCs w:val="32"/>
          <w:shd w:val="clear" w:color="auto" w:fill="FFFFFF"/>
        </w:rPr>
        <w:t>）;</w:t>
      </w:r>
    </w:p>
    <w:p w14:paraId="55F5B67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二、宣布失效（废止）的行政规范性文件</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
        </w:rPr>
        <w:t>4</w:t>
      </w:r>
      <w:r>
        <w:rPr>
          <w:rFonts w:hint="eastAsia" w:ascii="仿宋_GB2312" w:hAnsi="仿宋_GB2312" w:eastAsia="仿宋_GB2312" w:cs="仿宋_GB2312"/>
          <w:i w:val="0"/>
          <w:iCs w:val="0"/>
          <w:caps w:val="0"/>
          <w:color w:val="333333"/>
          <w:spacing w:val="0"/>
          <w:sz w:val="32"/>
          <w:szCs w:val="32"/>
          <w:shd w:val="clear" w:color="auto" w:fill="FFFFFF"/>
        </w:rPr>
        <w:t>件（详见附件</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
        </w:rPr>
        <w:t>2</w:t>
      </w:r>
      <w:r>
        <w:rPr>
          <w:rFonts w:hint="eastAsia" w:ascii="仿宋_GB2312" w:hAnsi="仿宋_GB2312" w:eastAsia="仿宋_GB2312" w:cs="仿宋_GB2312"/>
          <w:i w:val="0"/>
          <w:iCs w:val="0"/>
          <w:caps w:val="0"/>
          <w:color w:val="333333"/>
          <w:spacing w:val="0"/>
          <w:sz w:val="32"/>
          <w:szCs w:val="32"/>
          <w:shd w:val="clear" w:color="auto" w:fill="FFFFFF"/>
        </w:rPr>
        <w:t>）。</w:t>
      </w:r>
    </w:p>
    <w:p w14:paraId="304952DF">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宣布失效或废止的行政规范性文件，自本通告公布之日起不再执行，不得作为行政管理依据。</w:t>
      </w:r>
    </w:p>
    <w:p w14:paraId="2C55C89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特此通告。</w:t>
      </w:r>
    </w:p>
    <w:p w14:paraId="2F5499C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p>
    <w:p w14:paraId="60C4FF9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附件：1.</w:t>
      </w:r>
      <w:r>
        <w:rPr>
          <w:rFonts w:hint="eastAsia" w:ascii="仿宋_GB2312" w:hAnsi="仿宋_GB2312" w:eastAsia="仿宋_GB2312" w:cs="仿宋_GB2312"/>
          <w:i w:val="0"/>
          <w:iCs w:val="0"/>
          <w:caps w:val="0"/>
          <w:color w:val="333333"/>
          <w:spacing w:val="0"/>
          <w:sz w:val="32"/>
          <w:szCs w:val="32"/>
          <w:shd w:val="clear" w:color="auto" w:fill="FFFFFF"/>
        </w:rPr>
        <w:t>保留（继续有效）的行政规范性文件目录</w:t>
      </w:r>
    </w:p>
    <w:p w14:paraId="7F22B98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960" w:firstLineChars="300"/>
        <w:jc w:val="left"/>
        <w:textAlignment w:val="auto"/>
        <w:rPr>
          <w:rFonts w:hint="eastAsia" w:ascii="宋体" w:hAnsi="宋体" w:eastAsia="宋体" w:cs="宋体"/>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2.宣</w:t>
      </w:r>
      <w:r>
        <w:rPr>
          <w:rFonts w:hint="eastAsia" w:ascii="仿宋_GB2312" w:hAnsi="仿宋_GB2312" w:eastAsia="仿宋_GB2312" w:cs="仿宋_GB2312"/>
          <w:i w:val="0"/>
          <w:iCs w:val="0"/>
          <w:caps w:val="0"/>
          <w:color w:val="333333"/>
          <w:spacing w:val="1"/>
          <w:sz w:val="32"/>
          <w:szCs w:val="32"/>
          <w:shd w:val="clear" w:color="auto" w:fill="FFFFFF"/>
        </w:rPr>
        <w:t>布失效（废止）的行政规范性文件目录</w:t>
      </w:r>
    </w:p>
    <w:p w14:paraId="72B2DDAE">
      <w:pPr>
        <w:keepNext w:val="0"/>
        <w:keepLines w:val="0"/>
        <w:widowControl/>
        <w:suppressLineNumbers w:val="0"/>
        <w:shd w:val="clear" w:color="auto" w:fill="FFFFFF"/>
        <w:spacing w:before="100" w:beforeAutospacing="1" w:after="100" w:afterAutospacing="1" w:line="580" w:lineRule="atLeast"/>
        <w:ind w:left="0" w:right="0" w:firstLine="640"/>
        <w:jc w:val="left"/>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32"/>
          <w:szCs w:val="32"/>
          <w:shd w:val="clear" w:color="auto" w:fill="FFFFFF"/>
          <w:lang w:val="en-US" w:eastAsia="zh-CN" w:bidi="ar"/>
        </w:rPr>
        <w:t>            </w:t>
      </w:r>
    </w:p>
    <w:p w14:paraId="1CF63F7D"/>
    <w:p w14:paraId="17CF6C74"/>
    <w:p w14:paraId="322592D3"/>
    <w:p w14:paraId="60948CC0"/>
    <w:p w14:paraId="02D8619A"/>
    <w:p w14:paraId="7ADE7477">
      <w:pPr>
        <w:keepNext w:val="0"/>
        <w:keepLines w:val="0"/>
        <w:widowControl/>
        <w:suppressLineNumbers w:val="0"/>
        <w:shd w:val="clear" w:color="auto" w:fill="FFFFFF"/>
        <w:spacing w:before="100" w:beforeAutospacing="1" w:after="100" w:afterAutospacing="1" w:line="580" w:lineRule="atLeast"/>
        <w:ind w:left="0" w:right="0" w:firstLine="0"/>
        <w:jc w:val="both"/>
        <w:rPr>
          <w:rFonts w:hint="default" w:ascii="Times New Roman" w:hAnsi="Times New Roman" w:eastAsia="宋体" w:cs="Times New Roman"/>
          <w:i w:val="0"/>
          <w:iCs w:val="0"/>
          <w:caps w:val="0"/>
          <w:color w:val="333333"/>
          <w:spacing w:val="0"/>
          <w:kern w:val="0"/>
          <w:sz w:val="32"/>
          <w:szCs w:val="32"/>
          <w:shd w:val="clear" w:color="auto" w:fill="FFFFFF"/>
          <w:lang w:val="en-US" w:eastAsia="zh-CN" w:bidi="ar"/>
        </w:rPr>
      </w:pPr>
      <w:r>
        <w:rPr>
          <w:rFonts w:ascii="黑体" w:hAnsi="宋体" w:eastAsia="黑体" w:cs="黑体"/>
          <w:i w:val="0"/>
          <w:iCs w:val="0"/>
          <w:caps w:val="0"/>
          <w:color w:val="333333"/>
          <w:spacing w:val="0"/>
          <w:kern w:val="0"/>
          <w:sz w:val="32"/>
          <w:szCs w:val="32"/>
          <w:shd w:val="clear" w:color="auto" w:fill="FFFFFF"/>
          <w:lang w:val="en-US" w:eastAsia="zh-CN" w:bidi="ar"/>
        </w:rPr>
        <w:t>附件</w:t>
      </w:r>
      <w:r>
        <w:rPr>
          <w:rFonts w:hint="default" w:ascii="Times New Roman" w:hAnsi="Times New Roman" w:eastAsia="宋体" w:cs="Times New Roman"/>
          <w:i w:val="0"/>
          <w:iCs w:val="0"/>
          <w:caps w:val="0"/>
          <w:color w:val="333333"/>
          <w:spacing w:val="0"/>
          <w:kern w:val="0"/>
          <w:sz w:val="32"/>
          <w:szCs w:val="32"/>
          <w:shd w:val="clear" w:color="auto" w:fill="FFFFFF"/>
          <w:lang w:val="en-US" w:eastAsia="zh-CN" w:bidi="ar"/>
        </w:rPr>
        <w:t>1</w:t>
      </w:r>
    </w:p>
    <w:p w14:paraId="4B183B2A">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t>保留（继续有效）的行政规范性文件目录</w:t>
      </w:r>
    </w:p>
    <w:p w14:paraId="1FD72876">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t>（共3件）</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90"/>
        <w:gridCol w:w="2709"/>
        <w:gridCol w:w="5123"/>
      </w:tblGrid>
      <w:tr w14:paraId="11B95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5"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14:paraId="0FFC6B5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5"/>
                <w:sz w:val="32"/>
                <w:szCs w:val="32"/>
              </w:rPr>
              <w:t>序号</w:t>
            </w:r>
          </w:p>
        </w:tc>
        <w:tc>
          <w:tcPr>
            <w:tcW w:w="2709" w:type="dxa"/>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14:paraId="4571517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5"/>
                <w:sz w:val="32"/>
                <w:szCs w:val="32"/>
              </w:rPr>
              <w:t>文号</w:t>
            </w:r>
          </w:p>
        </w:tc>
        <w:tc>
          <w:tcPr>
            <w:tcW w:w="5123" w:type="dxa"/>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14:paraId="02BD358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文件名</w:t>
            </w:r>
            <w:r>
              <w:rPr>
                <w:rFonts w:hint="eastAsia" w:ascii="仿宋_GB2312" w:hAnsi="仿宋_GB2312" w:eastAsia="仿宋_GB2312" w:cs="仿宋_GB2312"/>
                <w:b/>
                <w:bCs/>
                <w:i w:val="0"/>
                <w:iCs w:val="0"/>
                <w:caps w:val="0"/>
                <w:color w:val="333333"/>
                <w:spacing w:val="-10"/>
                <w:sz w:val="32"/>
                <w:szCs w:val="32"/>
              </w:rPr>
              <w:t>称</w:t>
            </w:r>
          </w:p>
        </w:tc>
      </w:tr>
      <w:tr w14:paraId="46120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4" w:hRule="atLeast"/>
          <w:jc w:val="center"/>
        </w:trPr>
        <w:tc>
          <w:tcPr>
            <w:tcW w:w="690"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14:paraId="1C403DC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14:paraId="5AE85B0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34"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1</w:t>
            </w:r>
          </w:p>
        </w:tc>
        <w:tc>
          <w:tcPr>
            <w:tcW w:w="2709"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14:paraId="1A8E320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33"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洛政[2020]22号</w:t>
            </w:r>
          </w:p>
        </w:tc>
        <w:tc>
          <w:tcPr>
            <w:tcW w:w="5123"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14:paraId="7193280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33" w:right="104"/>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洛阳镇人民政府关于印发洛阳镇智慧用电安全建设行动方案的通知</w:t>
            </w:r>
          </w:p>
        </w:tc>
      </w:tr>
      <w:tr w14:paraId="0CF6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4" w:hRule="atLeast"/>
          <w:jc w:val="center"/>
        </w:trPr>
        <w:tc>
          <w:tcPr>
            <w:tcW w:w="690"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14:paraId="48AF63B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w:t>
            </w:r>
          </w:p>
        </w:tc>
        <w:tc>
          <w:tcPr>
            <w:tcW w:w="2709"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14:paraId="27CC719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洛政[2021]47号</w:t>
            </w:r>
          </w:p>
        </w:tc>
        <w:tc>
          <w:tcPr>
            <w:tcW w:w="5123"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14:paraId="2AAB663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洛阳镇人民政府关于提高人民调解员补贴标准的通知</w:t>
            </w:r>
          </w:p>
        </w:tc>
      </w:tr>
      <w:tr w14:paraId="0753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4" w:hRule="atLeast"/>
          <w:jc w:val="center"/>
        </w:trPr>
        <w:tc>
          <w:tcPr>
            <w:tcW w:w="690"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14:paraId="3D0C181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14:paraId="25203F0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34"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w:t>
            </w:r>
          </w:p>
        </w:tc>
        <w:tc>
          <w:tcPr>
            <w:tcW w:w="2709"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14:paraId="0CE8C0A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14:paraId="0555413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val="en-US" w:eastAsia="zh-CN"/>
              </w:rPr>
              <w:t>洛政[2022]20号</w:t>
            </w:r>
          </w:p>
        </w:tc>
        <w:tc>
          <w:tcPr>
            <w:tcW w:w="5123"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14:paraId="6E67D44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洛阳镇人民政府关于印发洛阳镇全面提升工矿商贸企业安全生产标准化建设质量实施方案的通知</w:t>
            </w:r>
          </w:p>
        </w:tc>
      </w:tr>
    </w:tbl>
    <w:p w14:paraId="330C9224">
      <w:pPr>
        <w:pStyle w:val="5"/>
        <w:keepNext w:val="0"/>
        <w:keepLines w:val="0"/>
        <w:widowControl/>
        <w:suppressLineNumbers w:val="0"/>
        <w:shd w:val="clear" w:color="auto" w:fill="FFFFFF"/>
        <w:spacing w:before="100" w:beforeAutospacing="1" w:after="100" w:afterAutospacing="1" w:line="580" w:lineRule="atLeast"/>
        <w:ind w:left="0" w:right="0" w:firstLine="0"/>
        <w:jc w:val="left"/>
        <w:rPr>
          <w:rFonts w:hint="eastAsia" w:ascii="黑体" w:hAnsi="宋体" w:eastAsia="黑体" w:cs="黑体"/>
          <w:i w:val="0"/>
          <w:iCs w:val="0"/>
          <w:caps w:val="0"/>
          <w:color w:val="333333"/>
          <w:spacing w:val="1"/>
          <w:sz w:val="32"/>
          <w:szCs w:val="32"/>
          <w:shd w:val="clear" w:color="auto" w:fill="FFFFFF"/>
        </w:rPr>
      </w:pPr>
    </w:p>
    <w:p w14:paraId="7BC7C03C">
      <w:pPr>
        <w:pStyle w:val="5"/>
        <w:keepNext w:val="0"/>
        <w:keepLines w:val="0"/>
        <w:widowControl/>
        <w:suppressLineNumbers w:val="0"/>
        <w:shd w:val="clear" w:color="auto" w:fill="FFFFFF"/>
        <w:spacing w:before="100" w:beforeAutospacing="1" w:after="100" w:afterAutospacing="1" w:line="580" w:lineRule="atLeast"/>
        <w:ind w:left="0" w:right="0" w:firstLine="0"/>
        <w:jc w:val="left"/>
        <w:rPr>
          <w:rFonts w:hint="eastAsia" w:ascii="黑体" w:hAnsi="宋体" w:eastAsia="黑体" w:cs="黑体"/>
          <w:i w:val="0"/>
          <w:iCs w:val="0"/>
          <w:caps w:val="0"/>
          <w:color w:val="333333"/>
          <w:spacing w:val="1"/>
          <w:sz w:val="32"/>
          <w:szCs w:val="32"/>
          <w:shd w:val="clear" w:color="auto" w:fill="FFFFFF"/>
        </w:rPr>
      </w:pPr>
    </w:p>
    <w:p w14:paraId="67EFBA1D">
      <w:pPr>
        <w:pStyle w:val="5"/>
        <w:keepNext w:val="0"/>
        <w:keepLines w:val="0"/>
        <w:widowControl/>
        <w:suppressLineNumbers w:val="0"/>
        <w:shd w:val="clear" w:color="auto" w:fill="FFFFFF"/>
        <w:spacing w:before="100" w:beforeAutospacing="1" w:after="100" w:afterAutospacing="1" w:line="580" w:lineRule="atLeast"/>
        <w:ind w:left="0" w:right="0" w:firstLine="0"/>
        <w:jc w:val="left"/>
        <w:rPr>
          <w:rFonts w:hint="eastAsia" w:ascii="黑体" w:hAnsi="宋体" w:eastAsia="黑体" w:cs="黑体"/>
          <w:i w:val="0"/>
          <w:iCs w:val="0"/>
          <w:caps w:val="0"/>
          <w:color w:val="333333"/>
          <w:spacing w:val="1"/>
          <w:sz w:val="32"/>
          <w:szCs w:val="32"/>
          <w:shd w:val="clear" w:color="auto" w:fill="FFFFFF"/>
        </w:rPr>
      </w:pPr>
    </w:p>
    <w:p w14:paraId="40EC04D5">
      <w:pPr>
        <w:pStyle w:val="5"/>
        <w:keepNext w:val="0"/>
        <w:keepLines w:val="0"/>
        <w:widowControl/>
        <w:suppressLineNumbers w:val="0"/>
        <w:shd w:val="clear" w:color="auto" w:fill="FFFFFF"/>
        <w:spacing w:before="100" w:beforeAutospacing="1" w:after="100" w:afterAutospacing="1" w:line="580" w:lineRule="atLeast"/>
        <w:ind w:left="0" w:right="0" w:firstLine="0"/>
        <w:jc w:val="left"/>
        <w:rPr>
          <w:rFonts w:hint="eastAsia" w:ascii="黑体" w:hAnsi="宋体" w:eastAsia="黑体" w:cs="黑体"/>
          <w:i w:val="0"/>
          <w:iCs w:val="0"/>
          <w:caps w:val="0"/>
          <w:color w:val="333333"/>
          <w:spacing w:val="1"/>
          <w:sz w:val="32"/>
          <w:szCs w:val="32"/>
          <w:shd w:val="clear" w:color="auto" w:fill="FFFFFF"/>
        </w:rPr>
      </w:pPr>
    </w:p>
    <w:p w14:paraId="04711A59">
      <w:pPr>
        <w:pStyle w:val="5"/>
        <w:keepNext w:val="0"/>
        <w:keepLines w:val="0"/>
        <w:widowControl/>
        <w:suppressLineNumbers w:val="0"/>
        <w:shd w:val="clear" w:color="auto" w:fill="FFFFFF"/>
        <w:spacing w:before="100" w:beforeAutospacing="1" w:after="100" w:afterAutospacing="1" w:line="580" w:lineRule="atLeast"/>
        <w:ind w:left="0" w:right="0" w:firstLine="0"/>
        <w:jc w:val="left"/>
        <w:rPr>
          <w:rFonts w:hint="eastAsia" w:ascii="黑体" w:hAnsi="宋体" w:eastAsia="黑体" w:cs="黑体"/>
          <w:i w:val="0"/>
          <w:iCs w:val="0"/>
          <w:caps w:val="0"/>
          <w:color w:val="333333"/>
          <w:spacing w:val="1"/>
          <w:sz w:val="32"/>
          <w:szCs w:val="32"/>
          <w:shd w:val="clear" w:color="auto" w:fill="FFFFFF"/>
        </w:rPr>
      </w:pPr>
    </w:p>
    <w:p w14:paraId="1D03B726">
      <w:pPr>
        <w:pStyle w:val="5"/>
        <w:keepNext w:val="0"/>
        <w:keepLines w:val="0"/>
        <w:widowControl/>
        <w:suppressLineNumbers w:val="0"/>
        <w:shd w:val="clear" w:color="auto" w:fill="FFFFFF"/>
        <w:spacing w:before="100" w:beforeAutospacing="1" w:after="100" w:afterAutospacing="1" w:line="580" w:lineRule="atLeast"/>
        <w:ind w:left="0" w:right="0" w:firstLine="0"/>
        <w:jc w:val="left"/>
        <w:rPr>
          <w:rFonts w:hint="eastAsia" w:ascii="黑体" w:hAnsi="宋体" w:eastAsia="黑体" w:cs="黑体"/>
          <w:i w:val="0"/>
          <w:iCs w:val="0"/>
          <w:caps w:val="0"/>
          <w:color w:val="333333"/>
          <w:spacing w:val="1"/>
          <w:sz w:val="32"/>
          <w:szCs w:val="32"/>
          <w:shd w:val="clear" w:color="auto" w:fill="FFFFFF"/>
        </w:rPr>
      </w:pPr>
    </w:p>
    <w:p w14:paraId="48434243">
      <w:pPr>
        <w:pStyle w:val="5"/>
        <w:keepNext w:val="0"/>
        <w:keepLines w:val="0"/>
        <w:widowControl/>
        <w:suppressLineNumbers w:val="0"/>
        <w:shd w:val="clear" w:color="auto" w:fill="FFFFFF"/>
        <w:spacing w:before="100" w:beforeAutospacing="1" w:after="100" w:afterAutospacing="1" w:line="580" w:lineRule="atLeast"/>
        <w:ind w:left="0" w:right="0" w:firstLine="0"/>
        <w:jc w:val="left"/>
        <w:rPr>
          <w:rFonts w:hint="eastAsia" w:ascii="黑体" w:hAnsi="宋体" w:eastAsia="黑体" w:cs="黑体"/>
          <w:i w:val="0"/>
          <w:iCs w:val="0"/>
          <w:caps w:val="0"/>
          <w:color w:val="333333"/>
          <w:spacing w:val="1"/>
          <w:sz w:val="32"/>
          <w:szCs w:val="32"/>
          <w:shd w:val="clear" w:color="auto" w:fill="FFFFFF"/>
        </w:rPr>
      </w:pPr>
    </w:p>
    <w:p w14:paraId="44B30AC1">
      <w:pPr>
        <w:pStyle w:val="5"/>
        <w:keepNext w:val="0"/>
        <w:keepLines w:val="0"/>
        <w:widowControl/>
        <w:suppressLineNumbers w:val="0"/>
        <w:shd w:val="clear" w:color="auto" w:fill="FFFFFF"/>
        <w:spacing w:before="100" w:beforeAutospacing="1" w:after="100" w:afterAutospacing="1" w:line="580" w:lineRule="atLeast"/>
        <w:ind w:left="0" w:right="0" w:firstLine="0"/>
        <w:jc w:val="left"/>
        <w:rPr>
          <w:rFonts w:hint="default" w:ascii="Times New Roman" w:hAnsi="Times New Roman" w:eastAsia="宋体" w:cs="Times New Roman"/>
          <w:i w:val="0"/>
          <w:iCs w:val="0"/>
          <w:caps w:val="0"/>
          <w:color w:val="333333"/>
          <w:spacing w:val="1"/>
          <w:sz w:val="32"/>
          <w:szCs w:val="32"/>
          <w:shd w:val="clear" w:color="auto" w:fill="FFFFFF"/>
        </w:rPr>
      </w:pPr>
      <w:r>
        <w:rPr>
          <w:rFonts w:hint="eastAsia" w:ascii="黑体" w:hAnsi="宋体" w:eastAsia="黑体" w:cs="黑体"/>
          <w:i w:val="0"/>
          <w:iCs w:val="0"/>
          <w:caps w:val="0"/>
          <w:color w:val="333333"/>
          <w:spacing w:val="1"/>
          <w:sz w:val="32"/>
          <w:szCs w:val="32"/>
          <w:shd w:val="clear" w:color="auto" w:fill="FFFFFF"/>
        </w:rPr>
        <w:t>附件</w:t>
      </w:r>
      <w:r>
        <w:rPr>
          <w:rFonts w:hint="default" w:ascii="Times New Roman" w:hAnsi="Times New Roman" w:eastAsia="宋体" w:cs="Times New Roman"/>
          <w:i w:val="0"/>
          <w:iCs w:val="0"/>
          <w:caps w:val="0"/>
          <w:color w:val="333333"/>
          <w:spacing w:val="1"/>
          <w:sz w:val="32"/>
          <w:szCs w:val="32"/>
          <w:shd w:val="clear" w:color="auto" w:fill="FFFFFF"/>
        </w:rPr>
        <w:t>2</w:t>
      </w:r>
    </w:p>
    <w:p w14:paraId="3D29957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1"/>
          <w:sz w:val="44"/>
          <w:szCs w:val="44"/>
          <w:shd w:val="clear" w:color="auto" w:fill="FFFFFF"/>
        </w:rPr>
      </w:pPr>
      <w:r>
        <w:rPr>
          <w:rFonts w:hint="eastAsia" w:ascii="方正小标宋简体" w:hAnsi="方正小标宋简体" w:eastAsia="方正小标宋简体" w:cs="方正小标宋简体"/>
          <w:i w:val="0"/>
          <w:iCs w:val="0"/>
          <w:caps w:val="0"/>
          <w:color w:val="333333"/>
          <w:spacing w:val="1"/>
          <w:sz w:val="44"/>
          <w:szCs w:val="44"/>
          <w:shd w:val="clear" w:color="auto" w:fill="FFFFFF"/>
        </w:rPr>
        <w:t>宣布失效（废止）的行政规范性文件目录</w:t>
      </w:r>
    </w:p>
    <w:p w14:paraId="4DB0F0E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rPr>
        <w:t>（共</w:t>
      </w: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4</w:t>
      </w:r>
      <w:r>
        <w:rPr>
          <w:rFonts w:hint="eastAsia" w:ascii="方正小标宋简体" w:hAnsi="方正小标宋简体" w:eastAsia="方正小标宋简体" w:cs="方正小标宋简体"/>
          <w:i w:val="0"/>
          <w:iCs w:val="0"/>
          <w:caps w:val="0"/>
          <w:color w:val="333333"/>
          <w:spacing w:val="0"/>
          <w:sz w:val="44"/>
          <w:szCs w:val="44"/>
          <w:shd w:val="clear" w:color="auto" w:fill="FFFFFF"/>
        </w:rPr>
        <w:t>件）</w:t>
      </w:r>
    </w:p>
    <w:p w14:paraId="1582A89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79"/>
        <w:gridCol w:w="2510"/>
        <w:gridCol w:w="5333"/>
      </w:tblGrid>
      <w:tr w14:paraId="2C9D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7" w:hRule="atLeast"/>
          <w:jc w:val="center"/>
        </w:trPr>
        <w:tc>
          <w:tcPr>
            <w:tcW w:w="67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F26D854">
            <w:pPr>
              <w:pStyle w:val="5"/>
              <w:keepNext w:val="0"/>
              <w:keepLines w:val="0"/>
              <w:widowControl/>
              <w:suppressLineNumbers w:val="0"/>
              <w:spacing w:before="100" w:beforeAutospacing="1" w:after="100" w:afterAutospacing="1"/>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5"/>
                <w:sz w:val="32"/>
                <w:szCs w:val="32"/>
              </w:rPr>
              <w:t>序号</w:t>
            </w:r>
          </w:p>
        </w:tc>
        <w:tc>
          <w:tcPr>
            <w:tcW w:w="2510" w:type="dxa"/>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B6FC4EC">
            <w:pPr>
              <w:pStyle w:val="5"/>
              <w:keepNext w:val="0"/>
              <w:keepLines w:val="0"/>
              <w:widowControl/>
              <w:suppressLineNumbers w:val="0"/>
              <w:spacing w:before="100" w:beforeAutospacing="1" w:after="100" w:afterAutospacing="1"/>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5"/>
                <w:sz w:val="32"/>
                <w:szCs w:val="32"/>
              </w:rPr>
              <w:t>文号</w:t>
            </w:r>
          </w:p>
        </w:tc>
        <w:tc>
          <w:tcPr>
            <w:tcW w:w="5333" w:type="dxa"/>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DC48784">
            <w:pPr>
              <w:pStyle w:val="5"/>
              <w:keepNext w:val="0"/>
              <w:keepLines w:val="0"/>
              <w:widowControl/>
              <w:suppressLineNumbers w:val="0"/>
              <w:spacing w:before="100" w:beforeAutospacing="1" w:after="100" w:afterAutospacing="1"/>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3"/>
                <w:sz w:val="32"/>
                <w:szCs w:val="32"/>
              </w:rPr>
              <w:t>文件名称</w:t>
            </w:r>
          </w:p>
        </w:tc>
      </w:tr>
      <w:tr w14:paraId="188F8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4" w:hRule="atLeast"/>
          <w:jc w:val="center"/>
        </w:trPr>
        <w:tc>
          <w:tcPr>
            <w:tcW w:w="679"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2B4D82B">
            <w:pPr>
              <w:pStyle w:val="5"/>
              <w:keepNext w:val="0"/>
              <w:keepLines w:val="0"/>
              <w:widowControl/>
              <w:suppressLineNumbers w:val="0"/>
              <w:spacing w:before="100" w:beforeAutospacing="1" w:after="100" w:afterAutospacing="1"/>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1</w:t>
            </w:r>
          </w:p>
        </w:tc>
        <w:tc>
          <w:tcPr>
            <w:tcW w:w="2510"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14:paraId="42E4AA5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val="en-US" w:eastAsia="zh-CN"/>
              </w:rPr>
              <w:t>洛政[2022]23号</w:t>
            </w:r>
          </w:p>
        </w:tc>
        <w:tc>
          <w:tcPr>
            <w:tcW w:w="5333"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14:paraId="5835CDF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val="en-US" w:eastAsia="zh-CN"/>
              </w:rPr>
              <w:t>洛阳镇人民政府关于开展洛阳镇有限空间作业安全专项整治工作的通知</w:t>
            </w:r>
          </w:p>
        </w:tc>
      </w:tr>
      <w:tr w14:paraId="0C53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4" w:hRule="atLeast"/>
          <w:jc w:val="center"/>
        </w:trPr>
        <w:tc>
          <w:tcPr>
            <w:tcW w:w="679" w:type="dxa"/>
            <w:tcBorders>
              <w:top w:val="nil"/>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14:paraId="13AF8C68">
            <w:pPr>
              <w:pStyle w:val="5"/>
              <w:keepNext w:val="0"/>
              <w:keepLines w:val="0"/>
              <w:widowControl/>
              <w:suppressLineNumbers w:val="0"/>
              <w:spacing w:before="100" w:beforeAutospacing="1" w:after="100" w:afterAutospacing="1"/>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w:t>
            </w:r>
          </w:p>
        </w:tc>
        <w:tc>
          <w:tcPr>
            <w:tcW w:w="2510" w:type="dxa"/>
            <w:tcBorders>
              <w:top w:val="nil"/>
              <w:left w:val="nil"/>
              <w:bottom w:val="single" w:color="auto" w:sz="4" w:space="0"/>
              <w:right w:val="single" w:color="000000" w:sz="8" w:space="0"/>
            </w:tcBorders>
            <w:shd w:val="clear" w:color="auto" w:fill="FFFFFF"/>
            <w:noWrap w:val="0"/>
            <w:tcMar>
              <w:top w:w="0" w:type="dxa"/>
              <w:left w:w="108" w:type="dxa"/>
              <w:bottom w:w="0" w:type="dxa"/>
              <w:right w:w="108" w:type="dxa"/>
            </w:tcMar>
            <w:vAlign w:val="top"/>
          </w:tcPr>
          <w:p w14:paraId="7E75282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val="en-US" w:eastAsia="zh-CN"/>
              </w:rPr>
              <w:t>洛政[2022]24号</w:t>
            </w:r>
          </w:p>
        </w:tc>
        <w:tc>
          <w:tcPr>
            <w:tcW w:w="5333" w:type="dxa"/>
            <w:tcBorders>
              <w:top w:val="nil"/>
              <w:left w:val="nil"/>
              <w:bottom w:val="single" w:color="auto" w:sz="4" w:space="0"/>
              <w:right w:val="single" w:color="000000" w:sz="8" w:space="0"/>
            </w:tcBorders>
            <w:shd w:val="clear" w:color="auto" w:fill="FFFFFF"/>
            <w:noWrap w:val="0"/>
            <w:tcMar>
              <w:top w:w="0" w:type="dxa"/>
              <w:left w:w="108" w:type="dxa"/>
              <w:bottom w:w="0" w:type="dxa"/>
              <w:right w:w="108" w:type="dxa"/>
            </w:tcMar>
            <w:vAlign w:val="top"/>
          </w:tcPr>
          <w:p w14:paraId="3D8F800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val="en-US" w:eastAsia="zh-CN"/>
              </w:rPr>
              <w:t>洛阳镇人民政府关于印发洛阳镇安全生产标准化提升专项行动执法推动方案的通知</w:t>
            </w:r>
          </w:p>
        </w:tc>
      </w:tr>
      <w:tr w14:paraId="08E78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4" w:hRule="atLeast"/>
          <w:jc w:val="center"/>
        </w:trPr>
        <w:tc>
          <w:tcPr>
            <w:tcW w:w="679" w:type="dxa"/>
            <w:tcBorders>
              <w:top w:val="single" w:color="auto" w:sz="4" w:space="0"/>
              <w:left w:val="single" w:color="auto" w:sz="4"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14:paraId="67E18C56">
            <w:pPr>
              <w:pStyle w:val="5"/>
              <w:keepNext w:val="0"/>
              <w:keepLines w:val="0"/>
              <w:widowControl/>
              <w:suppressLineNumbers w:val="0"/>
              <w:spacing w:before="100" w:beforeAutospacing="1" w:after="100" w:afterAutospacing="1"/>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w:t>
            </w:r>
          </w:p>
        </w:tc>
        <w:tc>
          <w:tcPr>
            <w:tcW w:w="2510" w:type="dxa"/>
            <w:tcBorders>
              <w:top w:val="single" w:color="auto" w:sz="4" w:space="0"/>
              <w:left w:val="nil"/>
              <w:bottom w:val="single" w:color="auto" w:sz="4" w:space="0"/>
              <w:right w:val="single" w:color="000000" w:sz="8" w:space="0"/>
            </w:tcBorders>
            <w:shd w:val="clear" w:color="auto" w:fill="FFFFFF"/>
            <w:noWrap w:val="0"/>
            <w:tcMar>
              <w:top w:w="0" w:type="dxa"/>
              <w:left w:w="108" w:type="dxa"/>
              <w:bottom w:w="0" w:type="dxa"/>
              <w:right w:w="108" w:type="dxa"/>
            </w:tcMar>
            <w:vAlign w:val="top"/>
          </w:tcPr>
          <w:p w14:paraId="2F798ED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val="en-US" w:eastAsia="zh-CN"/>
              </w:rPr>
              <w:t>洛政[2022]25号</w:t>
            </w:r>
          </w:p>
        </w:tc>
        <w:tc>
          <w:tcPr>
            <w:tcW w:w="5333"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top"/>
          </w:tcPr>
          <w:p w14:paraId="7C8B879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val="en-US" w:eastAsia="zh-CN"/>
              </w:rPr>
              <w:t>洛阳镇人民政府关于印发洛阳镇安全生产标准化提升专项行动2022年攻坚方案的通知</w:t>
            </w:r>
          </w:p>
        </w:tc>
      </w:tr>
      <w:tr w14:paraId="67D6D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4" w:hRule="atLeast"/>
          <w:jc w:val="center"/>
        </w:trPr>
        <w:tc>
          <w:tcPr>
            <w:tcW w:w="679" w:type="dxa"/>
            <w:tcBorders>
              <w:top w:val="single" w:color="auto" w:sz="4" w:space="0"/>
              <w:left w:val="single" w:color="auto" w:sz="4"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14:paraId="7DEF70D9">
            <w:pPr>
              <w:pStyle w:val="5"/>
              <w:keepNext w:val="0"/>
              <w:keepLines w:val="0"/>
              <w:widowControl/>
              <w:suppressLineNumbers w:val="0"/>
              <w:spacing w:before="100" w:beforeAutospacing="1" w:after="100" w:afterAutospacing="1"/>
              <w:ind w:left="0" w:right="0"/>
              <w:jc w:val="center"/>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4</w:t>
            </w:r>
          </w:p>
        </w:tc>
        <w:tc>
          <w:tcPr>
            <w:tcW w:w="2510" w:type="dxa"/>
            <w:tcBorders>
              <w:top w:val="single" w:color="auto" w:sz="4" w:space="0"/>
              <w:left w:val="nil"/>
              <w:bottom w:val="single" w:color="auto" w:sz="4" w:space="0"/>
              <w:right w:val="single" w:color="000000" w:sz="8" w:space="0"/>
            </w:tcBorders>
            <w:shd w:val="clear" w:color="auto" w:fill="FFFFFF"/>
            <w:noWrap w:val="0"/>
            <w:tcMar>
              <w:top w:w="0" w:type="dxa"/>
              <w:left w:w="108" w:type="dxa"/>
              <w:bottom w:w="0" w:type="dxa"/>
              <w:right w:w="108" w:type="dxa"/>
            </w:tcMar>
            <w:vAlign w:val="top"/>
          </w:tcPr>
          <w:p w14:paraId="78F944A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sz w:val="32"/>
                <w:szCs w:val="32"/>
                <w:vertAlign w:val="baseline"/>
                <w:lang w:val="en-US" w:eastAsia="zh-CN"/>
              </w:rPr>
              <w:t>洛政[2022]55号</w:t>
            </w:r>
          </w:p>
        </w:tc>
        <w:tc>
          <w:tcPr>
            <w:tcW w:w="5333"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top"/>
          </w:tcPr>
          <w:p w14:paraId="61FCEF5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sz w:val="32"/>
                <w:szCs w:val="32"/>
                <w:vertAlign w:val="baseline"/>
                <w:lang w:val="en-US" w:eastAsia="zh-CN"/>
              </w:rPr>
              <w:t>洛阳镇人民政府关于印发洛阳镇工贸电力行业安全生产大检查实施方案的通知</w:t>
            </w:r>
          </w:p>
        </w:tc>
      </w:tr>
    </w:tbl>
    <w:p w14:paraId="27697337">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YWFjMDQ5NTk1NjkyMDg0YzQ2M2E0MjRiYWUwN2IifQ=="/>
  </w:docVars>
  <w:rsids>
    <w:rsidRoot w:val="63440A03"/>
    <w:rsid w:val="188E7B5E"/>
    <w:rsid w:val="2C176E78"/>
    <w:rsid w:val="453A1E07"/>
    <w:rsid w:val="4C8401EE"/>
    <w:rsid w:val="5D9F6E8B"/>
    <w:rsid w:val="632C38C6"/>
    <w:rsid w:val="63440A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index 7"/>
    <w:basedOn w:val="1"/>
    <w:next w:val="1"/>
    <w:qFormat/>
    <w:uiPriority w:val="0"/>
    <w:pPr>
      <w:ind w:left="2520"/>
    </w:pPr>
    <w:rPr>
      <w:rFonts w:ascii="Times New Roman" w:hAnsi="Times New Roman" w:eastAsia="宋体" w:cs="Times New Roman"/>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6700;&#38754;\2024&#24180;&#24230;&#35268;&#33539;&#24615;&#25991;&#20214;&#28165;&#29702;&#24037;&#20316;\&#24800;&#23433;&#21439;&#27931;&#38451;&#38215;&#20154;&#27665;&#25919;&#24220;2024&#24180;&#24230;&#34892;&#25919;&#35268;&#33539;&#24615;&#25991;&#20214;&#28165;&#29702;&#32467;&#26524;&#65288;&#24449;&#27714;&#24847;&#35265;&#312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惠安县洛阳镇人民政府2024年度行政规范性文件清理结果（征求意见稿）.dot</Template>
  <Pages>3</Pages>
  <Words>660</Words>
  <Characters>727</Characters>
  <Lines>0</Lines>
  <Paragraphs>0</Paragraphs>
  <TotalTime>1</TotalTime>
  <ScaleCrop>false</ScaleCrop>
  <LinksUpToDate>false</LinksUpToDate>
  <CharactersWithSpaces>739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2024-08-06T09:28:00Z</dcterms:created>
  <dc:creator>Administrator</dc:creator>
  <cp:lastModifiedBy>Administrator</cp:lastModifiedBy>
  <dcterms:modified xsi:type="dcterms:W3CDTF">2024-08-06T09:31:36Z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166A3BD02AD444A385E4E0F2EDDBAA1C_11</vt:lpwstr>
  </property>
</Properties>
</file>