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_GBK" w:eastAsia="方正小标宋简体"/>
          <w:b w:val="0"/>
          <w:bCs w:val="0"/>
        </w:rPr>
      </w:pPr>
      <w:bookmarkStart w:id="0" w:name="_Toc24724723"/>
      <w:r>
        <w:rPr>
          <w:rFonts w:hint="eastAsia" w:ascii="方正小标宋简体" w:hAnsi="方正小标宋_GBK" w:eastAsia="方正小标宋简体"/>
          <w:b w:val="0"/>
          <w:bCs w:val="0"/>
        </w:rPr>
        <w:t>公共文化服务领域基层政务公开标准目录</w:t>
      </w:r>
      <w:bookmarkEnd w:id="0"/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许可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互联网上网服务营业场所经营许可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1.办事指南：主要包括事项名称、设定依据、申请条件、办理材料、办理地点、办理时间、联系电话、办理流程、办理期限、申请行政许可需要提交的全部材料目录及办理情况;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《行政许可法》、《政府信息公开条例》、《互联网上网服务营业场所管理条例》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■行政服务中心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文艺表演团体设立审批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《行政许可法》、《政府信息公开条例》、《营业性演出管理条例》、《文化部关于落实“先照后证”改进文化市场行政审批工作的通知》 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■行政服务中心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营业性演出审批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■行政服务中心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娱乐场所经营许可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《行政许可法》；《政府信息公开条例》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       ■公开查阅点</w:t>
            </w:r>
            <w:bookmarkStart w:id="1" w:name="_GoBack"/>
            <w:bookmarkEnd w:id="1"/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■行政服务中心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■相关公共文化服务机构网站或公众号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特殊群体公共文化服务信息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■相关公共文化服务机构网站或公众号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■相关公共文化服务机构网站或公众号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■相关公共文化服务机构网站或公众号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■相关公共文化服务机构网站或公众号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1.培训时间；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2.培训单位；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3.培训地址；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■相关公共文化服务机构网站或公众号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非物质文化遗产展示传播活动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2.组织单位；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《非物质文化遗产法》、《政府信息公开条例》  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</w:tbl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D46145"/>
    <w:rsid w:val="003031A8"/>
    <w:rsid w:val="005159DB"/>
    <w:rsid w:val="00ED2B38"/>
    <w:rsid w:val="06C546BB"/>
    <w:rsid w:val="186E4341"/>
    <w:rsid w:val="29D46145"/>
    <w:rsid w:val="2D5368A6"/>
    <w:rsid w:val="3B10084F"/>
    <w:rsid w:val="4B10561C"/>
    <w:rsid w:val="4CB52BE3"/>
    <w:rsid w:val="4DC80B30"/>
    <w:rsid w:val="57A80D50"/>
    <w:rsid w:val="58286D75"/>
    <w:rsid w:val="62143D3D"/>
    <w:rsid w:val="683A5B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485</Words>
  <Characters>2767</Characters>
  <Lines>23</Lines>
  <Paragraphs>6</Paragraphs>
  <TotalTime>8</TotalTime>
  <ScaleCrop>false</ScaleCrop>
  <LinksUpToDate>false</LinksUpToDate>
  <CharactersWithSpaces>3246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2020-09-18T07:33:00Z</dcterms:created>
  <dc:creator>Administrator</dc:creator>
  <cp:lastModifiedBy>PC</cp:lastModifiedBy>
  <cp:lastPrinted>2020-09-29T09:14:32Z</cp:lastPrinted>
  <dcterms:modified xsi:type="dcterms:W3CDTF">2020-09-29T09:18:01Z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