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2"/>
          <w:szCs w:val="32"/>
        </w:rPr>
        <w:t>附表6</w:t>
      </w:r>
    </w:p>
    <w:p>
      <w:pPr>
        <w:spacing w:before="156" w:beforeLines="50" w:after="156" w:afterLines="50"/>
        <w:jc w:val="center"/>
        <w:rPr>
          <w:rFonts w:ascii="方正小标宋_GBK" w:eastAsia="方正小标宋_GBK"/>
          <w:sz w:val="32"/>
          <w:szCs w:val="32"/>
        </w:rPr>
      </w:pPr>
      <w:r>
        <w:rPr>
          <w:rFonts w:hint="eastAsia" w:ascii="方正小标宋_GBK" w:eastAsia="方正小标宋_GBK"/>
          <w:sz w:val="32"/>
          <w:szCs w:val="32"/>
        </w:rPr>
        <w:t>政府预决算相关重要事项说明</w:t>
      </w:r>
    </w:p>
    <w:p>
      <w:pPr>
        <w:spacing w:line="600" w:lineRule="exact"/>
        <w:ind w:firstLine="640" w:firstLineChars="200"/>
        <w:rPr>
          <w:rFonts w:ascii="方正黑体_GBK" w:hAnsi="黑体" w:eastAsia="方正黑体_GBK"/>
          <w:sz w:val="32"/>
          <w:szCs w:val="32"/>
        </w:rPr>
      </w:pPr>
      <w:r>
        <w:rPr>
          <w:rFonts w:hint="eastAsia" w:ascii="方正黑体_GBK" w:hAnsi="黑体" w:eastAsia="方正黑体_GBK"/>
          <w:sz w:val="32"/>
          <w:szCs w:val="32"/>
        </w:rPr>
        <w:t>一、</w:t>
      </w:r>
      <w:r>
        <w:rPr>
          <w:rFonts w:hint="eastAsia" w:ascii="方正黑体_GBK" w:hAnsi="仿宋" w:eastAsia="方正黑体_GBK" w:cs="Arial"/>
          <w:b/>
          <w:bCs/>
          <w:kern w:val="0"/>
          <w:sz w:val="32"/>
          <w:szCs w:val="32"/>
          <w:lang w:val="en-US" w:eastAsia="zh-CN"/>
        </w:rPr>
        <w:t>泉</w:t>
      </w:r>
      <w:r>
        <w:rPr>
          <w:rFonts w:hint="eastAsia" w:ascii="方正黑体_GBK" w:hAnsi="仿宋" w:eastAsia="方正黑体_GBK" w:cs="Arial"/>
          <w:kern w:val="0"/>
          <w:sz w:val="32"/>
          <w:szCs w:val="32"/>
          <w:lang w:val="en-US" w:eastAsia="zh-CN"/>
        </w:rPr>
        <w:t>州台商投资区</w:t>
      </w:r>
      <w:r>
        <w:rPr>
          <w:rFonts w:hint="eastAsia" w:ascii="方正黑体_GBK" w:hAnsi="仿宋" w:eastAsia="方正黑体_GBK" w:cs="Arial"/>
          <w:kern w:val="0"/>
          <w:sz w:val="32"/>
          <w:szCs w:val="32"/>
        </w:rPr>
        <w:t>支</w:t>
      </w:r>
      <w:r>
        <w:rPr>
          <w:rFonts w:hint="eastAsia" w:ascii="方正黑体_GBK" w:hAnsi="仿宋" w:eastAsia="方正黑体_GBK" w:cs="Arial"/>
          <w:kern w:val="0"/>
          <w:sz w:val="32"/>
          <w:szCs w:val="32"/>
          <w:lang w:val="en-US" w:eastAsia="zh-CN"/>
        </w:rPr>
        <w:t>出</w:t>
      </w:r>
      <w:r>
        <w:rPr>
          <w:rFonts w:hint="eastAsia" w:ascii="方正黑体_GBK" w:hAnsi="仿宋" w:eastAsia="方正黑体_GBK" w:cs="Arial"/>
          <w:b/>
          <w:bCs/>
          <w:kern w:val="0"/>
          <w:sz w:val="32"/>
          <w:szCs w:val="32"/>
          <w:lang w:val="en-US" w:eastAsia="zh-CN"/>
        </w:rPr>
        <w:t>决</w:t>
      </w:r>
      <w:r>
        <w:rPr>
          <w:rFonts w:hint="eastAsia" w:ascii="方正黑体_GBK" w:hAnsi="仿宋" w:eastAsia="方正黑体_GBK" w:cs="Arial"/>
          <w:kern w:val="0"/>
          <w:sz w:val="32"/>
          <w:szCs w:val="32"/>
          <w:lang w:val="en-US" w:eastAsia="zh-CN"/>
        </w:rPr>
        <w:t>算</w:t>
      </w:r>
      <w:r>
        <w:rPr>
          <w:rFonts w:hint="eastAsia" w:ascii="方正黑体_GBK" w:hAnsi="仿宋" w:eastAsia="方正黑体_GBK" w:cs="Arial"/>
          <w:kern w:val="0"/>
          <w:sz w:val="32"/>
          <w:szCs w:val="32"/>
        </w:rPr>
        <w:t>说明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202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Arial"/>
          <w:kern w:val="0"/>
          <w:sz w:val="32"/>
          <w:szCs w:val="32"/>
        </w:rPr>
        <w:t>度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泉州台商投资区</w:t>
      </w:r>
      <w:r>
        <w:rPr>
          <w:rFonts w:hint="eastAsia" w:ascii="仿宋" w:hAnsi="仿宋" w:eastAsia="仿宋" w:cs="Arial"/>
          <w:kern w:val="0"/>
          <w:sz w:val="32"/>
          <w:szCs w:val="32"/>
        </w:rPr>
        <w:t>一般公共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预算</w:t>
      </w:r>
      <w:r>
        <w:rPr>
          <w:rFonts w:hint="eastAsia" w:ascii="仿宋" w:hAnsi="仿宋" w:eastAsia="仿宋" w:cs="Arial"/>
          <w:kern w:val="0"/>
          <w:sz w:val="32"/>
          <w:szCs w:val="32"/>
        </w:rPr>
        <w:t>支出数为242259万元，比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202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Arial"/>
          <w:kern w:val="0"/>
          <w:sz w:val="32"/>
          <w:szCs w:val="32"/>
        </w:rPr>
        <w:t>度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决算</w:t>
      </w:r>
      <w:r>
        <w:rPr>
          <w:rFonts w:hint="eastAsia" w:ascii="仿宋" w:hAnsi="仿宋" w:eastAsia="仿宋" w:cs="Arial"/>
          <w:kern w:val="0"/>
          <w:sz w:val="32"/>
          <w:szCs w:val="32"/>
        </w:rPr>
        <w:t>数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增加63678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增长35.66</w:t>
      </w:r>
      <w:r>
        <w:rPr>
          <w:rFonts w:hint="eastAsia" w:ascii="仿宋" w:hAnsi="仿宋" w:eastAsia="仿宋"/>
          <w:kern w:val="0"/>
          <w:sz w:val="32"/>
          <w:szCs w:val="32"/>
        </w:rPr>
        <w:t>%</w:t>
      </w:r>
      <w:r>
        <w:rPr>
          <w:rFonts w:hint="eastAsia" w:ascii="仿宋" w:hAnsi="仿宋" w:eastAsia="仿宋" w:cs="Arial"/>
          <w:kern w:val="0"/>
          <w:sz w:val="32"/>
          <w:szCs w:val="32"/>
        </w:rPr>
        <w:t>。具体情况如下（分款级科目表述）：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（一)201-一般公共服务支出23653万元，较2021年决算数增加2954万元，增长14.27%，其中：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1、20103-政府办公厅(室)及相关机构事务9185万元，较2021年决算数增加2686万元，增长41.33%。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2、20104-发展与改革事务1182万元，较2021年决算数增加138万元，增长13.22%。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3、20105-统计信息事务50万元，较2021年决算数减少87万元，下降63.5%。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4、20106-财政事务1384万元，较2021年决算数减少135万元，下降8.89%。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5、20107-税收事务840万元，较2021年决算数增加23万元，增长2.82%。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6、20108-审计事务253万元，较2021年决算数增加108万元，增长74.48%。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7、20109-海关事务50万元，较2021年决算数增加50万元，增长100%。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8、20111-纪检监察事务259万元，较2021年决算数减少246万元，下降48.71%。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9、20113-商贸事务1197万元，较2021年决算数增加411万元，增长52.29%。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10、20114-知识产权事务45万元，较2021年决算数增加45万元，增长100%。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11、20123-民族事务156万元,与2022年决算数持平。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12、20125-港澳台事务14万元，较2021年决算数增加3万元，增长27.27%。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13、20126-档案事务114万元，较2021年决算数减少224万元，下降66.27%。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14、20129-群众团体事务1657万元，较2021年决算数减少46万元，下降2.7%。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15、20132-组织事务1231万元，较2021年决算数减少577万元，下降31.91%。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16、20133-宣传事务593万元，较2021年决算数增加430万元，增长263.8%。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17、20134-统战事务20万元，较2021年决算数减少14万元，下降41.18%。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18、20136-其他共产党事务支出(款)1278万元，较2021年决算数增加398万元，增长45.23%。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19、20138-市场监督管理事务2716万元，较2021年决算数增加823万元，增长43.48%。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20、20199-其他一般公共服务支出(款)1429万元，较2021年决算数减少335万元，下降18.99%。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（二)203-国防支出438万元，较2021年决算数增加338万元，增长338%，其中：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1、20306-国防动员438万元，较2021年决算数增加338万元，增长338%。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（三)204-公共安全支出9316万元，较2021年决算数增加953万元，增长11.4%，其中：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1、20401-武装警察部队(款)289万元，较2021年决算数增加274万元，增长1826.67%。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2、20402-公安5253万元，较2021年决算数减少76万元，下降1.43%。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3、20403-国家安全27万元，较2021年决算数增加5万元，增长22.73%。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4、20405-法院473万元，较2021年决算数增加107万元，增长29.23%。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5、20406-司法297万元，较2021年决算数增加33万元，增长12.5%。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6、20499-其他公共安全支出(款)2977万元，较2021年决算数增加610万元，增长25.77%。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（四)205-教育支出61429万元，较2021年决算数增加9861万元，增长19.12%，其中：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1、20501-教育管理事务450万元，较2021年决算数减少73万元，下降13.96%。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2、20502-普通教育55236万元，较2021年决算数增加8280万元，增长17.63%。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3、20503-职业教育737万元，较2021年决算数增加220万元，增长42.55%。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4、20507-特殊教育94万元，较2021年决算数增加83万元，增长754.55%。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5、20508-进修及培训287万元，较2021年决算数增加279万元，增长3487.5%。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6、20509-教育费附加安排的支出4599万元，较2021年决算数增加1055万元，增长29.77%。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7、20599-其他教育支出(款)26万元，较2021年决算数增加17万元，增长188.89%。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（五)206-科学技术支出7315万元，较2021年决算数增加114万元，增长1.58%，其中：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1、20604-技术研究与开发1371万元，较2021年决算数减少1611万元，下降54.02%。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2、20605-科技条件与服务103万元，较2021年决算数减少5万元，下降4.63%。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3、20607-科学技术普及8万元，较2021年决算数减少19万元，下降70.37%。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4、20608-科技交流与合作100万元，较2021年决算数增加100万元，增长100%。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5、20699-其他科学技术支出(款)5733万元，较2021年决算数增加5733万元，增长100%。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（六)207-文化旅游体育与传媒支出2594万元，较2021年决算数增加497万元，增长23.7%，其中：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1、20701-文化和旅游1454万元，较2021年决算数增加704万元，增长93.87%。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2、20702-文物121万元，较2021年决算数减少157万元，下降56.47%。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3、20706-新闻出版电影216万元，较2021年决算数增加57万元，增长35.85%。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4、20799-其他文化旅游体育与传媒支出(款)803万元，较2021年决算数减少94万元，下降10.48%。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（七)208-社会保障和就业支出20124万元，较2021年决算数增加2273万元，增长12.73%，其中：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1、20801-人力资源和社会保障管理事务723万元，较2021年决算数增加443万元，增长158.21%。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2、20802-民政管理事务296万元，较2021年决算数增加59万元，增长24.89%。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3、20805-行政事业单位养老支出2994万元，较2021年决算数增加841万元，增长39.06%。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4、20807-就业补助558万元，较2021年决算数增加186万元，增长50%。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5、20808-抚恤1476万元，较2021年决算数增加156万元，增长11.82%。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6、20809-退役安置418万元，较2021年决算数减少187万元，下降30.91%。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7、20810-社会福利759万元，较2021年决算数增加183万元，增长31.77%。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8、20811-残疾人事业1163万元，较2021年决算数增加178万元，增长18.07%。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9、20819-最低生活保障1909万元，较2021年决算数减少61万元，下降3.1%。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10、20820-临时救助206万元，较2021年决算数减少21万元，下降9.25%。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11、20821-特困人员救助供养48万元，较2021年决算数减少35万元，下降42.17%。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12、20825-其他生活救助74万元，较2021年决算数减少35万元，下降32.11%。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13、20826-财政对基本养老保险基金的补助7919万元，较2021年决算数减少551万元，下降6.51%。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14、20828-退役军人管理事务205万元，较2021年决算数增加49万元，增长31.41%。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15、20899-其他社会保障和就业支出(款)1376万元，较2021年决算数增加1068万元，增长346.75%。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（八)210-卫生健康支出27350万元，较2021年决算数增加4604万元，增长20.24%，其中：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1、21001-卫生健康管理事务1070万元，较2021年决算数减少1066万元，下降49.91%。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2、21002-公立医院1953万元，较2021年决算数减少89万元，下降4.36%。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3、21003-基层医疗卫生机构3127万元，较2021年决算数减少10万元，下降0.32%。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4、21004-公共卫生8538万元，较2021年决算数增加4605万元，增长117.09%。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5、21006-中医药18万元，较2021年决算数增加3万元，增长20%。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6、21007-计划生育事务3144万元，较2021年决算数增加484万元，增长18.2%。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7、21011-行政事业单位医疗450万元，较2021年决算数减少33万元，下降6.83%。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8、21012-财政对基本医疗保险基金的补助6451万元，较2021年决算数增加240万元，增长3.86%。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9、21013-医疗救助270万元，较2021年决算数增加4万元，增长1.5%。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10、21014-优抚对象医疗41万元，较2021年决算数增加7万元，增长20.59%。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11、21016-老龄卫生健康事务(款)629万元，较2021年决算数增加151万元，增长31.59%。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12、21099-其他卫生健康支出(款)1659万元，较2021年决算数增加308万元，增长22.8%。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（九)211-节能环保支出1163万元，较2021年决算数减少92万元，下降7.33%，其中：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1、21101-环境保护管理事务212万元，较2021年决算数减少43万元，下降16.86%。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2、21102-环境监测与监察240万元，较2021年决算数增加43万元，增长21.83%。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3、21103-污染防治210万元，较2021年决算数减少315万元，下降60%。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4、21104-自然生态保护494万元，较2021年决算数增加478万元，增长2987.5%。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5、21110-能源节约利用(款)7万元，较2021年决算数减少244万元，下降97.21%。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十</w:t>
      </w:r>
      <w:r>
        <w:rPr>
          <w:rFonts w:hint="eastAsia" w:ascii="仿宋" w:hAnsi="仿宋" w:eastAsia="仿宋"/>
          <w:kern w:val="0"/>
          <w:sz w:val="32"/>
          <w:szCs w:val="32"/>
        </w:rPr>
        <w:t>)212-城乡社区支出18799万元，较2021年决算数增加12357万元，增长191.82%，其中：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1、21201-城乡社区管理事务9995万元，较2021年决算数增加3834万元，增长62.23%。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2、21202-城乡社区规划与管理(款)21万元，较2021年决算数增加21万元，增长100%。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3、21203-城乡社区公共设施12万元，较2021年决算数减少42万元，下降77.78%。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4、21205-城乡社区环境卫生(款)221万元，较2021年决算数增加114万元，增长106.54%。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5、21299-其他城乡社区支出(款)8550万元，较2021年决算数增加8430万元，增长7025%。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十</w:t>
      </w:r>
      <w:r>
        <w:rPr>
          <w:rFonts w:hint="eastAsia" w:ascii="仿宋" w:hAnsi="仿宋" w:eastAsia="仿宋"/>
          <w:kern w:val="0"/>
          <w:sz w:val="32"/>
          <w:szCs w:val="32"/>
        </w:rPr>
        <w:t>一)213-农林水支出7669万元，较2021年决算数增加2225万元，增长40.87%，其中：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1、21301-农业农村3760万元，较2021年决算数增加1219万元，增长47.97%。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2、21302-林业和草原712万元，较2021年决算数增加270万元，增长61.09%。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3、21303-水利617万元，较2021年决算数增加279万元，增长82.54%。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4、21305-巩固脱贫衔接乡村振兴396万元，较2021年决算数增加127万元，增长47.21%。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5、21307-农村综合改革704万元，较2021年决算数减少487万元，下降40.89%。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6、21308-普惠金融发展支出46万元，较2021年决算数减少139万元，下降75.14%。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7、21399-其他农林水支出(款)1434万元，较2021年决算数增加956万元，增长200%。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十</w:t>
      </w:r>
      <w:r>
        <w:rPr>
          <w:rFonts w:hint="eastAsia" w:ascii="仿宋" w:hAnsi="仿宋" w:eastAsia="仿宋"/>
          <w:kern w:val="0"/>
          <w:sz w:val="32"/>
          <w:szCs w:val="32"/>
        </w:rPr>
        <w:t>二)214-交通运输支出24478万元，较2021年决算数增加20853万元，增长575.26%，其中：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1、21401-公路水路运输3452万元，较2021年决算数增加251万元，增长7.84%。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2、21402-铁路运输5万元,与2022年决算数持平。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3、21406-车辆购置税支出20648万元，较2021年决算数增加20648万元，增长100%。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4、21499-其他交通运输支出(款)373万元，较2021年决算数减少46万元，下降10.98%。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十</w:t>
      </w:r>
      <w:r>
        <w:rPr>
          <w:rFonts w:hint="eastAsia" w:ascii="仿宋" w:hAnsi="仿宋" w:eastAsia="仿宋"/>
          <w:kern w:val="0"/>
          <w:sz w:val="32"/>
          <w:szCs w:val="32"/>
        </w:rPr>
        <w:t>三)215-资源勘探工业信息等支出12632万元，较2021年决算数增加8914万元，增长239.75%，其中：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1、21502-制造业8341万元，较2021年决算数增加8341万元，增长100%。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2、21508-支持中小企业发展和管理支出2859万元，较2021年决算数减少135万元，下降4.51%。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3、21599-其他资源勘探工业信息等支出(款)1432万元，较2021年决算数增加1008万元，增长237.74%。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十</w:t>
      </w:r>
      <w:r>
        <w:rPr>
          <w:rFonts w:hint="eastAsia" w:ascii="仿宋" w:hAnsi="仿宋" w:eastAsia="仿宋"/>
          <w:kern w:val="0"/>
          <w:sz w:val="32"/>
          <w:szCs w:val="32"/>
        </w:rPr>
        <w:t>四)216-商业服务业等支出12237万元，较2021年决算数减少3046万元，下降19.93%，其中：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1、21602-商业流通事务251万元，较2021年决算数减少7036万元，下降96.56%。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2、21606-涉外发展服务支出1283万元，较2021年决算数增加624万元，增长94.69%。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3、21699-其他商业服务业等支出(款)10703万元，较2021年决算数增加3366万元，增长45.88%。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十</w:t>
      </w:r>
      <w:r>
        <w:rPr>
          <w:rFonts w:hint="eastAsia" w:ascii="仿宋" w:hAnsi="仿宋" w:eastAsia="仿宋"/>
          <w:kern w:val="0"/>
          <w:sz w:val="32"/>
          <w:szCs w:val="32"/>
        </w:rPr>
        <w:t>五)217-金融支出260万元，较2021年决算数增加196万元，增长306.25%，其中：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1、21702-金融部门监管支出4万元，较2021年决算数增加4万元，增长100%。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2、21799-其他金融支出(款)256万元，较2021年决算数增加192万元，增长300%。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十</w:t>
      </w:r>
      <w:r>
        <w:rPr>
          <w:rFonts w:hint="eastAsia" w:ascii="仿宋" w:hAnsi="仿宋" w:eastAsia="仿宋"/>
          <w:kern w:val="0"/>
          <w:sz w:val="32"/>
          <w:szCs w:val="32"/>
        </w:rPr>
        <w:t>六)219-援助其他地区支出531万元，较2021年决算数增加218万元，增长69.65%，其中：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1、21999-其他支出531万元，较2021年决算数增加218万元，增长69.65%。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十</w:t>
      </w:r>
      <w:r>
        <w:rPr>
          <w:rFonts w:hint="eastAsia" w:ascii="仿宋" w:hAnsi="仿宋" w:eastAsia="仿宋"/>
          <w:kern w:val="0"/>
          <w:sz w:val="32"/>
          <w:szCs w:val="32"/>
        </w:rPr>
        <w:t>七)220-自然资源海洋气象等支出461万元，较2021年决算数增加52万元，增长12.71%，其中：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1、22001-自然资源事务401万元，较2021年决算数增加13万元，增长3.35%。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2、22099-其他自然资源海洋气象等支出(款)60万元，较2021年决算数增加39万元，增长185.71%。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十</w:t>
      </w:r>
      <w:r>
        <w:rPr>
          <w:rFonts w:hint="eastAsia" w:ascii="仿宋" w:hAnsi="仿宋" w:eastAsia="仿宋"/>
          <w:kern w:val="0"/>
          <w:sz w:val="32"/>
          <w:szCs w:val="32"/>
        </w:rPr>
        <w:t>八)221-住房保障支出3525万元，较2021年决算数增加1377万元，增长64.11%，其中：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1、22101-保障性安居工程支出3525万元，较2021年决算数增加1377万元，增长64.11%。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十</w:t>
      </w:r>
      <w:r>
        <w:rPr>
          <w:rFonts w:hint="eastAsia" w:ascii="仿宋" w:hAnsi="仿宋" w:eastAsia="仿宋"/>
          <w:kern w:val="0"/>
          <w:sz w:val="32"/>
          <w:szCs w:val="32"/>
        </w:rPr>
        <w:t>九)222-粮油物资储备支出442万元，较2021年决算数减少981万元，下降68.94%，其中：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1、22201-粮油物资事务442万元，较2021年决算数减少966万元，下降68.61%。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（二十)224-灾害防治及应急管理支出1639万元，较2021年决算数减少679万元，下降29.29%，其中：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1、22401-应急管理事务556万元，较2021年决算数增加298万元，增长115.5%。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2、22402-消防救援事务942万元，较2021年决算数减少1078万元，下降53.37%。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3、22405-地震事务6万元，较2021年决算数减少4万元，下降40%。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4、22406-自然灾害防治117万元，较2021年决算数增加87万元，增长290%。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5、22407-自然灾害救灾及恢复重建支出18万元，较2021年决算数增加18万元，增长100%。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（二十一)229-其他支出(类)1401万元，较2021年决算数增加718万元，增长105.12%，其中：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1、22999-其他支出(款)1401万元，较2021年决算数增加718万元，增长105.12%。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（二十二)232-债务付息支出4773万元，较2021年决算数减少50万元，下降1.04%，其中：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1、23203-地方政府一般债务付息支出4773万元，较2021年决算数减少50万元，下降1.04%。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（二十三)233-债务发行费用支出30万元，较2021年决算数增加22万元，增长275%，其中：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</w:rPr>
        <w:t>1、23303-地方政府一般债务发行费用支出30万元，较2021年决算数增加22万元，增长275%。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eastAsia="zh-CN"/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eastAsia="zh-CN"/>
        </w:rPr>
      </w:pP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二、财政转移支付安排情况</w:t>
      </w:r>
    </w:p>
    <w:p>
      <w:pPr>
        <w:widowControl/>
        <w:shd w:val="clear" w:color="auto" w:fill="FFFFFF"/>
        <w:spacing w:line="600" w:lineRule="exact"/>
        <w:ind w:firstLine="800" w:firstLineChars="250"/>
        <w:jc w:val="left"/>
        <w:rPr>
          <w:rFonts w:hint="eastAsia" w:ascii="仿宋_GB2312" w:hAnsi="仿宋" w:eastAsia="仿宋_GB2312" w:cs="Arial"/>
          <w:kern w:val="0"/>
          <w:sz w:val="32"/>
          <w:szCs w:val="32"/>
        </w:rPr>
      </w:pPr>
      <w:r>
        <w:rPr>
          <w:rFonts w:hint="eastAsia" w:ascii="仿宋_GB2312" w:hAnsi="仿宋" w:eastAsia="仿宋_GB2312" w:cs="Arial"/>
          <w:kern w:val="0"/>
          <w:sz w:val="32"/>
          <w:szCs w:val="32"/>
        </w:rPr>
        <w:t>一、一般公共预算转移支付执行情况：</w:t>
      </w:r>
    </w:p>
    <w:p>
      <w:pPr>
        <w:widowControl/>
        <w:shd w:val="clear" w:color="auto" w:fill="FFFFFF"/>
        <w:spacing w:line="600" w:lineRule="exact"/>
        <w:ind w:firstLine="800" w:firstLineChars="250"/>
        <w:jc w:val="left"/>
        <w:rPr>
          <w:rFonts w:hint="eastAsia" w:ascii="仿宋_GB2312" w:hAnsi="仿宋" w:eastAsia="仿宋_GB2312" w:cs="Arial"/>
          <w:kern w:val="0"/>
          <w:sz w:val="32"/>
          <w:szCs w:val="32"/>
        </w:rPr>
      </w:pPr>
      <w:r>
        <w:rPr>
          <w:rFonts w:hint="eastAsia" w:ascii="仿宋_GB2312" w:hAnsi="仿宋" w:eastAsia="仿宋_GB2312" w:cs="Arial"/>
          <w:kern w:val="0"/>
          <w:sz w:val="32"/>
          <w:szCs w:val="32"/>
        </w:rPr>
        <w:t>2022年省、市下达台商投资区一般公共预算转移支付资金77048万元，其中，税收返还性收入248万元，一般性转移支付收入57364万元，专项转移支付收入19436万元，一般公共预算上解上级支出20592万元。</w:t>
      </w:r>
    </w:p>
    <w:p>
      <w:pPr>
        <w:widowControl/>
        <w:shd w:val="clear" w:color="auto" w:fill="FFFFFF"/>
        <w:spacing w:line="600" w:lineRule="exact"/>
        <w:ind w:firstLine="800" w:firstLineChars="250"/>
        <w:jc w:val="left"/>
        <w:rPr>
          <w:rFonts w:hint="eastAsia" w:ascii="仿宋_GB2312" w:hAnsi="仿宋" w:eastAsia="仿宋_GB2312" w:cs="Arial"/>
          <w:kern w:val="0"/>
          <w:sz w:val="32"/>
          <w:szCs w:val="32"/>
        </w:rPr>
      </w:pPr>
      <w:r>
        <w:rPr>
          <w:rFonts w:hint="eastAsia" w:ascii="仿宋_GB2312" w:hAnsi="仿宋" w:eastAsia="仿宋_GB2312" w:cs="Arial"/>
          <w:kern w:val="0"/>
          <w:sz w:val="32"/>
          <w:szCs w:val="32"/>
        </w:rPr>
        <w:t>二、政府性基金预算转移支付执行情况：</w:t>
      </w:r>
    </w:p>
    <w:p>
      <w:pPr>
        <w:widowControl/>
        <w:shd w:val="clear" w:color="auto" w:fill="FFFFFF"/>
        <w:spacing w:line="600" w:lineRule="exact"/>
        <w:ind w:firstLine="800" w:firstLineChars="250"/>
        <w:jc w:val="left"/>
        <w:rPr>
          <w:rFonts w:hint="eastAsia" w:ascii="仿宋_GB2312" w:hAnsi="仿宋" w:eastAsia="仿宋_GB2312" w:cs="Arial"/>
          <w:kern w:val="0"/>
          <w:sz w:val="32"/>
          <w:szCs w:val="32"/>
        </w:rPr>
      </w:pPr>
      <w:r>
        <w:rPr>
          <w:rFonts w:hint="eastAsia" w:ascii="仿宋_GB2312" w:hAnsi="仿宋" w:eastAsia="仿宋_GB2312" w:cs="Arial"/>
          <w:kern w:val="0"/>
          <w:sz w:val="32"/>
          <w:szCs w:val="32"/>
        </w:rPr>
        <w:t>2022年省、市下达台商投资区政府性基金预算转移支付资金1132万元，政府性基金预算上解上级支出7538万元。</w:t>
      </w:r>
    </w:p>
    <w:p>
      <w:pPr>
        <w:widowControl/>
        <w:shd w:val="clear" w:color="auto" w:fill="FFFFFF"/>
        <w:spacing w:line="600" w:lineRule="exact"/>
        <w:ind w:firstLine="800" w:firstLineChars="250"/>
        <w:jc w:val="left"/>
        <w:rPr>
          <w:rFonts w:hint="eastAsia" w:ascii="仿宋_GB2312" w:hAnsi="仿宋" w:eastAsia="仿宋_GB2312" w:cs="Arial"/>
          <w:kern w:val="0"/>
          <w:sz w:val="32"/>
          <w:szCs w:val="32"/>
        </w:rPr>
      </w:pPr>
      <w:r>
        <w:rPr>
          <w:rFonts w:hint="eastAsia" w:ascii="仿宋_GB2312" w:hAnsi="仿宋" w:eastAsia="仿宋_GB2312" w:cs="Arial"/>
          <w:kern w:val="0"/>
          <w:sz w:val="32"/>
          <w:szCs w:val="32"/>
        </w:rPr>
        <w:t>因台商投资区所辖乡镇作为一级预算部门管理，未单独编制政府预算，为此未有一般公共预算对下税收返还和转移支付决算数据。上级补助资金主要用于民生事业、基础设施建设、扶贫开发等事项，是台商投资区加强社会保障，提供公共服务的重要补充。</w:t>
      </w:r>
    </w:p>
    <w:p>
      <w:pPr>
        <w:widowControl/>
        <w:shd w:val="clear" w:color="auto" w:fill="FFFFFF"/>
        <w:spacing w:line="600" w:lineRule="exact"/>
        <w:ind w:firstLine="800" w:firstLineChars="250"/>
        <w:jc w:val="left"/>
        <w:rPr>
          <w:rFonts w:hint="eastAsia" w:ascii="仿宋_GB2312" w:hAnsi="仿宋" w:eastAsia="仿宋_GB2312" w:cs="Arial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三、举借政府债务情况</w:t>
      </w:r>
    </w:p>
    <w:p>
      <w:pPr>
        <w:spacing w:line="600" w:lineRule="exact"/>
        <w:ind w:firstLine="620"/>
        <w:rPr>
          <w:rFonts w:hint="eastAsia" w:ascii="仿宋" w:hAnsi="仿宋" w:eastAsia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2022年，新增政府债务限额238206万元，实际发行新增债券238206万元（一般8046万元，专项230160万元）。截至2022年底，政府债务余额1562818万元（一般137435，专项1425383），债务余额严格控制在省级核定的限额1647759万元。债务还本付息支出387039万元，（一般25070万元，专项361970万元），其中还本335743万元（一般20297万元，专项315446万元），付息51297万元（一般4773万元，专项46524万元）。</w:t>
      </w:r>
    </w:p>
    <w:p>
      <w:pPr>
        <w:spacing w:line="600" w:lineRule="exact"/>
        <w:ind w:firstLine="620"/>
        <w:rPr>
          <w:rFonts w:hint="eastAsia" w:ascii="仿宋" w:hAnsi="仿宋" w:eastAsia="仿宋"/>
          <w:snapToGrid w:val="0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四、预算绩效开展情况</w:t>
      </w:r>
    </w:p>
    <w:p>
      <w:pPr>
        <w:spacing w:line="600" w:lineRule="exact"/>
        <w:ind w:firstLine="62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年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区</w:t>
      </w:r>
      <w:r>
        <w:rPr>
          <w:rFonts w:hint="eastAsia" w:ascii="仿宋" w:hAnsi="仿宋" w:eastAsia="仿宋" w:cs="Arial"/>
          <w:kern w:val="0"/>
          <w:sz w:val="32"/>
          <w:szCs w:val="32"/>
        </w:rPr>
        <w:t>财政部门</w:t>
      </w:r>
      <w:r>
        <w:rPr>
          <w:rFonts w:hint="eastAsia" w:ascii="仿宋" w:hAnsi="仿宋" w:eastAsia="仿宋"/>
          <w:sz w:val="32"/>
          <w:szCs w:val="32"/>
        </w:rPr>
        <w:t>对</w:t>
      </w:r>
      <w:r>
        <w:rPr>
          <w:rFonts w:hint="eastAsia" w:ascii="仿宋" w:hAnsi="仿宋" w:eastAsia="仿宋"/>
          <w:sz w:val="32"/>
          <w:szCs w:val="32"/>
          <w:lang w:eastAsia="zh-CN"/>
        </w:rPr>
        <w:t>环境、教育、道路建设</w:t>
      </w:r>
      <w:r>
        <w:rPr>
          <w:rFonts w:hint="eastAsia" w:ascii="仿宋" w:hAnsi="仿宋" w:eastAsia="仿宋"/>
          <w:sz w:val="32"/>
          <w:szCs w:val="32"/>
        </w:rPr>
        <w:t>等领域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个财政重点支出项目进行了绩效评价，涉及财政资金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16707</w:t>
      </w:r>
      <w:r>
        <w:rPr>
          <w:rFonts w:hint="eastAsia" w:ascii="仿宋" w:hAnsi="仿宋" w:eastAsia="仿宋"/>
          <w:kern w:val="0"/>
          <w:sz w:val="32"/>
          <w:szCs w:val="32"/>
        </w:rPr>
        <w:t>万元</w:t>
      </w:r>
      <w:r>
        <w:rPr>
          <w:rFonts w:hint="eastAsia" w:ascii="仿宋" w:hAnsi="仿宋" w:eastAsia="仿宋"/>
          <w:sz w:val="32"/>
          <w:szCs w:val="32"/>
        </w:rPr>
        <w:t>。其中，绩效等级达到“优”的有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项，达到“良”的有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项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6FBDDA6B-DC22-485A-BE19-4B93B55F9F0C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50762476-4EFB-4C0C-AB30-E219D9CE663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41455A62-ACD8-448B-9A58-75BF180A6E8B}"/>
  </w:font>
  <w:font w:name="方正小标宋_GBK">
    <w:panose1 w:val="02000000000000000000"/>
    <w:charset w:val="86"/>
    <w:family w:val="script"/>
    <w:pitch w:val="default"/>
    <w:sig w:usb0="00000000" w:usb1="00000000" w:usb2="00000000" w:usb3="00000000" w:csb0="00000000" w:csb1="00000000"/>
    <w:embedRegular r:id="rId4" w:fontKey="{813CF086-9FB3-4BE4-B1C3-302C00021C18}"/>
  </w:font>
  <w:font w:name="方正黑体_GBK">
    <w:panose1 w:val="03000509000000000000"/>
    <w:charset w:val="86"/>
    <w:family w:val="script"/>
    <w:pitch w:val="default"/>
    <w:sig w:usb0="00000000" w:usb1="00000000" w:usb2="00000000" w:usb3="00000000" w:csb0="00000000" w:csb1="00000000"/>
    <w:embedRegular r:id="rId5" w:fontKey="{B933D71D-B1BE-4062-8A73-C5138A9F165E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6" w:fontKey="{502B47E0-90C1-4120-8BA7-3A5439AB7B1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wN2VhN2U1MTI0MTljNDYzZjRhYzUzZjI3ZmYxMTEifQ=="/>
  </w:docVars>
  <w:rsids>
    <w:rsidRoot w:val="009D34A6"/>
    <w:rsid w:val="000204A3"/>
    <w:rsid w:val="00057A3C"/>
    <w:rsid w:val="00102DF0"/>
    <w:rsid w:val="00313891"/>
    <w:rsid w:val="005775D9"/>
    <w:rsid w:val="00580AD9"/>
    <w:rsid w:val="005D12B2"/>
    <w:rsid w:val="00651375"/>
    <w:rsid w:val="007A0B3E"/>
    <w:rsid w:val="009D34A6"/>
    <w:rsid w:val="00B03E7C"/>
    <w:rsid w:val="00D905AB"/>
    <w:rsid w:val="00E469B6"/>
    <w:rsid w:val="00EE575F"/>
    <w:rsid w:val="00FC6FDA"/>
    <w:rsid w:val="21E1422C"/>
    <w:rsid w:val="27330039"/>
    <w:rsid w:val="29014FB4"/>
    <w:rsid w:val="4A914552"/>
    <w:rsid w:val="4C707099"/>
    <w:rsid w:val="506710E3"/>
    <w:rsid w:val="533E51E7"/>
    <w:rsid w:val="561102CA"/>
    <w:rsid w:val="5D4F1C6D"/>
    <w:rsid w:val="6DDE6E6E"/>
    <w:rsid w:val="71A0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4755</Words>
  <Characters>7153</Characters>
  <Lines>13</Lines>
  <Paragraphs>3</Paragraphs>
  <TotalTime>10</TotalTime>
  <ScaleCrop>false</ScaleCrop>
  <LinksUpToDate>false</LinksUpToDate>
  <CharactersWithSpaces>7153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2018-01-02T08:12:00Z</dcterms:created>
  <dc:creator>何吾志</dc:creator>
  <cp:lastModifiedBy>HP170104</cp:lastModifiedBy>
  <cp:lastPrinted>2018-01-09T06:37:00Z</cp:lastPrinted>
  <dcterms:modified xsi:type="dcterms:W3CDTF">2023-07-18T02:32:29Z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  <property fmtid="{D5CDD505-2E9C-101B-9397-08002B2CF9AE}" pid="3" name="ICV">
    <vt:lpwstr>EBBC7B6F348148DDA53591EE99595838_13</vt:lpwstr>
  </property>
</Properties>
</file>