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1259"/>
        </w:tabs>
        <w:spacing w:line="489" w:lineRule="exact"/>
        <w:jc w:val="center"/>
        <w:rPr>
          <w:color w:val="auto"/>
          <w:lang w:eastAsia="zh-CN"/>
        </w:rPr>
      </w:pPr>
      <w:bookmarkStart w:id="0" w:name="_GoBack"/>
      <w:r>
        <w:rPr>
          <w:rFonts w:hint="eastAsia" w:ascii="Times New Roman" w:hAnsi="Times New Roman"/>
          <w:color w:val="auto"/>
          <w:lang w:eastAsia="zh-CN"/>
        </w:rPr>
        <w:t>泉州台商投资区管理委员会市场监督管理局</w:t>
      </w:r>
    </w:p>
    <w:p>
      <w:pPr>
        <w:spacing w:line="641" w:lineRule="exact"/>
        <w:jc w:val="center"/>
        <w:rPr>
          <w:rFonts w:ascii="Arial Unicode MS" w:hAnsi="Arial Unicode MS" w:eastAsia="Arial Unicode MS" w:cs="Arial Unicode MS"/>
          <w:color w:val="auto"/>
          <w:sz w:val="42"/>
          <w:szCs w:val="42"/>
          <w:lang w:eastAsia="zh-CN"/>
        </w:rPr>
      </w:pPr>
      <w:r>
        <w:rPr>
          <w:rFonts w:hint="eastAsia" w:ascii="Arial Unicode MS" w:hAnsi="Arial Unicode MS" w:eastAsia="Arial Unicode MS" w:cs="Arial Unicode MS"/>
          <w:color w:val="auto"/>
          <w:sz w:val="42"/>
          <w:szCs w:val="42"/>
          <w:lang w:eastAsia="zh-CN"/>
        </w:rPr>
        <w:t>行政处罚决定书</w:t>
      </w:r>
    </w:p>
    <w:p>
      <w:pPr>
        <w:jc w:val="center"/>
        <w:rPr>
          <w:rFonts w:ascii="仿宋_GB2312" w:eastAsia="仿宋_GB2312"/>
          <w:color w:val="auto"/>
          <w:sz w:val="32"/>
          <w:szCs w:val="32"/>
          <w:lang w:eastAsia="zh-CN"/>
        </w:rPr>
      </w:pPr>
      <w:r>
        <w:rPr>
          <w:rFonts w:hint="eastAsia" w:ascii="仿宋_GB2312" w:hAnsi="Times New Roman" w:eastAsia="仿宋_GB2312"/>
          <w:color w:val="auto"/>
          <w:sz w:val="32"/>
          <w:szCs w:val="32"/>
          <w:lang w:eastAsia="zh-CN"/>
        </w:rPr>
        <w:t>泉台管市监</w:t>
      </w:r>
      <w:r>
        <w:rPr>
          <w:rFonts w:hint="eastAsia" w:ascii="仿宋_GB2312" w:hAnsi="Times New Roman" w:eastAsia="仿宋_GB2312"/>
          <w:color w:val="auto"/>
          <w:sz w:val="32"/>
          <w:szCs w:val="32"/>
          <w:lang w:eastAsia="zh-CN"/>
        </w:rPr>
        <w:tab/>
      </w:r>
      <w:r>
        <w:rPr>
          <w:rFonts w:hint="eastAsia" w:ascii="仿宋_GB2312" w:hAnsi="Times New Roman" w:eastAsia="仿宋_GB2312"/>
          <w:color w:val="auto"/>
          <w:sz w:val="32"/>
          <w:szCs w:val="32"/>
          <w:lang w:eastAsia="zh-CN"/>
        </w:rPr>
        <w:t>处</w:t>
      </w:r>
      <w:r>
        <w:rPr>
          <w:rFonts w:hint="eastAsia" w:ascii="仿宋_GB2312" w:eastAsia="仿宋_GB2312"/>
          <w:color w:val="auto"/>
          <w:sz w:val="32"/>
          <w:szCs w:val="32"/>
          <w:lang w:eastAsia="zh-CN"/>
        </w:rPr>
        <w:t>〔2020〕13</w:t>
      </w:r>
      <w:r>
        <w:rPr>
          <w:rFonts w:hint="eastAsia" w:ascii="仿宋_GB2312" w:eastAsia="仿宋_GB2312"/>
          <w:color w:val="auto"/>
          <w:sz w:val="32"/>
          <w:szCs w:val="32"/>
          <w:lang w:eastAsia="zh-CN"/>
        </w:rPr>
        <w:t>号</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当事人：东园镇东园村第三卫生所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登记号：PDY00533935052112D6001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住所：东园镇东园村新街东龙综合楼107#室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主要负责人：黄金梅</w:t>
      </w:r>
    </w:p>
    <w:p>
      <w:pPr>
        <w:jc w:val="both"/>
        <w:rPr>
          <w:rFonts w:ascii="仿宋" w:hAnsi="仿宋" w:eastAsia="仿宋"/>
          <w:color w:val="auto"/>
          <w:sz w:val="32"/>
          <w:szCs w:val="32"/>
          <w:lang w:val="en-US" w:eastAsia="zh-CN"/>
        </w:rPr>
      </w:pPr>
      <w:r>
        <w:rPr>
          <w:rFonts w:hint="eastAsia" w:ascii="仿宋" w:hAnsi="仿宋" w:eastAsia="仿宋"/>
          <w:color w:val="auto"/>
          <w:sz w:val="32"/>
          <w:szCs w:val="32"/>
          <w:lang w:eastAsia="zh-CN"/>
        </w:rPr>
        <w:t>身份证号码：</w:t>
      </w:r>
      <w:r>
        <w:rPr>
          <w:rFonts w:hint="eastAsia" w:ascii="仿宋" w:hAnsi="仿宋" w:eastAsia="仿宋"/>
          <w:color w:val="auto"/>
          <w:sz w:val="32"/>
          <w:szCs w:val="32"/>
          <w:lang w:val="en-US" w:eastAsia="zh-CN"/>
        </w:rPr>
        <w:t>***</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联系电话：</w:t>
      </w:r>
      <w:r>
        <w:rPr>
          <w:rFonts w:hint="eastAsia" w:ascii="仿宋" w:hAnsi="仿宋" w:eastAsia="仿宋"/>
          <w:color w:val="auto"/>
          <w:sz w:val="32"/>
          <w:szCs w:val="32"/>
          <w:lang w:val="en-US" w:eastAsia="zh-CN"/>
        </w:rPr>
        <w:t>***</w:t>
      </w:r>
      <w:r>
        <w:rPr>
          <w:rFonts w:ascii="仿宋" w:hAnsi="仿宋" w:eastAsia="仿宋"/>
          <w:color w:val="auto"/>
          <w:sz w:val="32"/>
          <w:szCs w:val="32"/>
          <w:lang w:eastAsia="zh-CN"/>
        </w:rPr>
        <w:t xml:space="preserve"> </w:t>
      </w:r>
    </w:p>
    <w:p>
      <w:pPr>
        <w:jc w:val="both"/>
        <w:rPr>
          <w:rFonts w:ascii="仿宋" w:hAnsi="仿宋" w:eastAsia="仿宋"/>
          <w:color w:val="auto"/>
          <w:sz w:val="32"/>
          <w:szCs w:val="32"/>
          <w:lang w:val="en-US" w:eastAsia="zh-CN"/>
        </w:rPr>
      </w:pPr>
      <w:r>
        <w:rPr>
          <w:rFonts w:hint="eastAsia" w:ascii="仿宋" w:hAnsi="仿宋" w:eastAsia="仿宋"/>
          <w:color w:val="auto"/>
          <w:sz w:val="32"/>
          <w:szCs w:val="32"/>
          <w:lang w:eastAsia="zh-CN"/>
        </w:rPr>
        <w:t>联系地址：</w:t>
      </w:r>
      <w:r>
        <w:rPr>
          <w:rFonts w:hint="eastAsia" w:ascii="仿宋" w:hAnsi="仿宋" w:eastAsia="仿宋"/>
          <w:color w:val="auto"/>
          <w:sz w:val="32"/>
          <w:szCs w:val="32"/>
          <w:lang w:val="en-US" w:eastAsia="zh-CN"/>
        </w:rPr>
        <w:t>***</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一、案件来源、调查经过及采取行政强制措施情况</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2019年10月23日，我局执法人员依法对位于</w:t>
      </w:r>
      <w:r>
        <w:rPr>
          <w:rFonts w:ascii="仿宋" w:hAnsi="仿宋" w:eastAsia="仿宋"/>
          <w:color w:val="auto"/>
          <w:sz w:val="32"/>
          <w:szCs w:val="32"/>
          <w:lang w:eastAsia="zh-CN"/>
        </w:rPr>
        <w:t>泉州台商投资区东园镇</w:t>
      </w:r>
      <w:r>
        <w:rPr>
          <w:rFonts w:hint="eastAsia" w:ascii="仿宋" w:hAnsi="仿宋" w:eastAsia="仿宋"/>
          <w:color w:val="auto"/>
          <w:sz w:val="32"/>
          <w:szCs w:val="32"/>
          <w:lang w:eastAsia="zh-CN"/>
        </w:rPr>
        <w:t>东园村的东园镇东园村第三卫生所进行检查，发现该卫生所柜台放置有四川依料制药有限公司生产的复方氨酚那敏颗粒（产品批号：19505，批准文号：国药准字H51023457，规格：10包/袋）20包。贮藏：不超过20℃，现场温度25℃，该卫生所未对上述药品采取冷藏措施。我局执法人员已于2019年6月就当事人未按药品标准和说明书的要求储存药品发出责令改正通知书责令其7日内改正。</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二、违反法律、法规或者规章的事实</w:t>
      </w:r>
    </w:p>
    <w:p>
      <w:pPr>
        <w:spacing w:line="520" w:lineRule="exact"/>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经查：</w:t>
      </w:r>
      <w:r>
        <w:rPr>
          <w:rFonts w:hint="eastAsia" w:ascii="仿宋" w:hAnsi="仿宋" w:eastAsia="仿宋"/>
          <w:color w:val="auto"/>
          <w:sz w:val="32"/>
          <w:szCs w:val="32"/>
          <w:lang w:eastAsia="zh-CN"/>
        </w:rPr>
        <w:t>2019年6月18日，我局执法人员在检查过程中发现当事人未按药品标准和说明书的要求储存药品，现场我局执法人员依法开具《责令改正通知书》责令当事人7日内予以改正。</w:t>
      </w:r>
    </w:p>
    <w:p>
      <w:pPr>
        <w:spacing w:line="520" w:lineRule="exact"/>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2019年10月22日，当事人从福建省泉州市荣昌药业有限公司购进四川依料制药有限公司生产的复方氨酚那敏颗粒（产品批号：19505，批准文号：国药准字H51023457，规格：10包/袋）20包。</w:t>
      </w:r>
    </w:p>
    <w:p>
      <w:pPr>
        <w:spacing w:line="520" w:lineRule="exact"/>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2019年10月22日，我局执法人员对当事人进行检查，现场发现该卫生所柜台放置有20包四川依料制药有限公司生产的复方氨酚那敏颗粒（产品批号：19505，批准文号：国药准字H51023457，规格：10包/袋）。贮藏：（不超过20℃）保存，现场温度25℃，当事人未对上述药品采取冷藏措施。                                        </w:t>
      </w:r>
    </w:p>
    <w:p>
      <w:pPr>
        <w:spacing w:line="520" w:lineRule="exact"/>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上述事实，主要有以下证据证明：</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1、当事人《医疗机构执业许可证》复印件及《</w:t>
      </w:r>
      <w:r>
        <w:rPr>
          <w:rFonts w:hint="eastAsia" w:ascii="仿宋" w:hAnsi="仿宋" w:eastAsia="仿宋"/>
          <w:color w:val="auto"/>
          <w:sz w:val="32"/>
          <w:szCs w:val="32"/>
          <w:lang w:eastAsia="zh-CN"/>
        </w:rPr>
        <w:t>执业医生证书</w:t>
      </w:r>
      <w:r>
        <w:rPr>
          <w:rFonts w:hint="eastAsia" w:ascii="仿宋" w:hAnsi="仿宋" w:eastAsia="仿宋"/>
          <w:color w:val="auto"/>
          <w:sz w:val="32"/>
          <w:szCs w:val="32"/>
          <w:lang w:eastAsia="zh-CN"/>
        </w:rPr>
        <w:t>》复印件各一份，证明：当事人的信息及从事医疗服务的资质；</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2、当事人主要负责人身份证复印件（1页），证明：当事人主要负责人的身份信息；</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3、《现场检查笔录》及现场检查照片，证明：执法人员实施检查的过程、证据调取等程序的合法性；</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4、询问笔录一份，证明：当事人未按药品标准和说明书的要求储存药品的事实、过程；</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5、当事人提供的药品购进票据一份，证明：当事人未按药品标准和说明书的要求储存药品的事实、过程；</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6、责令改正通知书，证明：我局执法人员已于2019年6月18日责令当事人予以改正。</w:t>
      </w:r>
    </w:p>
    <w:p>
      <w:pPr>
        <w:spacing w:line="520" w:lineRule="exact"/>
        <w:ind w:firstLine="681" w:firstLineChars="213"/>
        <w:jc w:val="both"/>
        <w:rPr>
          <w:rFonts w:ascii="仿宋" w:hAnsi="仿宋" w:eastAsia="仿宋"/>
          <w:color w:val="auto"/>
          <w:sz w:val="32"/>
          <w:szCs w:val="32"/>
          <w:lang w:eastAsia="zh-CN"/>
        </w:rPr>
      </w:pPr>
      <w:r>
        <w:rPr>
          <w:rFonts w:hint="eastAsia" w:ascii="仿宋" w:hAnsi="仿宋" w:eastAsia="仿宋"/>
          <w:color w:val="auto"/>
          <w:sz w:val="32"/>
          <w:szCs w:val="32"/>
          <w:lang w:eastAsia="zh-CN"/>
        </w:rPr>
        <w:t>2020年1月8日，我局向当事人送达了泉台管市监告[2020]D17号《行政处罚告知书》，告知了我局拟对当事人作出予以行政处罚的事实、理由、依据和处罚内容及当事人依法享有的陈述、申辩的权利，当事人在法定期限内未提出陈述、申辩要求。</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三、案件性质、自由裁量的事实和理由</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当事人未按药品标准和说明书的要求储存药品经责令改正后逾期不改正。其行为违反了</w:t>
      </w:r>
      <w:r>
        <w:rPr>
          <w:rFonts w:ascii="仿宋" w:hAnsi="仿宋" w:eastAsia="仿宋"/>
          <w:color w:val="auto"/>
          <w:sz w:val="32"/>
          <w:szCs w:val="32"/>
          <w:lang w:eastAsia="zh-CN"/>
        </w:rPr>
        <w:t>《</w:t>
      </w:r>
      <w:r>
        <w:rPr>
          <w:rFonts w:hint="eastAsia" w:ascii="仿宋" w:hAnsi="仿宋" w:eastAsia="仿宋"/>
          <w:color w:val="auto"/>
          <w:sz w:val="32"/>
          <w:szCs w:val="32"/>
          <w:lang w:eastAsia="zh-CN"/>
        </w:rPr>
        <w:t>福建省药品和医疗器械流通监督管理办法</w:t>
      </w:r>
      <w:r>
        <w:rPr>
          <w:rFonts w:ascii="仿宋" w:hAnsi="仿宋" w:eastAsia="仿宋"/>
          <w:color w:val="auto"/>
          <w:sz w:val="32"/>
          <w:szCs w:val="32"/>
          <w:lang w:eastAsia="zh-CN"/>
        </w:rPr>
        <w:t>》第十</w:t>
      </w:r>
      <w:r>
        <w:rPr>
          <w:rFonts w:hint="eastAsia" w:ascii="仿宋" w:hAnsi="仿宋" w:eastAsia="仿宋"/>
          <w:color w:val="auto"/>
          <w:sz w:val="32"/>
          <w:szCs w:val="32"/>
          <w:lang w:eastAsia="zh-CN"/>
        </w:rPr>
        <w:t>二</w:t>
      </w:r>
      <w:r>
        <w:rPr>
          <w:rFonts w:ascii="仿宋" w:hAnsi="仿宋" w:eastAsia="仿宋"/>
          <w:color w:val="auto"/>
          <w:sz w:val="32"/>
          <w:szCs w:val="32"/>
          <w:lang w:eastAsia="zh-CN"/>
        </w:rPr>
        <w:t>条第</w:t>
      </w:r>
      <w:r>
        <w:rPr>
          <w:rFonts w:hint="eastAsia" w:ascii="仿宋" w:hAnsi="仿宋" w:eastAsia="仿宋"/>
          <w:color w:val="auto"/>
          <w:sz w:val="32"/>
          <w:szCs w:val="32"/>
          <w:lang w:eastAsia="zh-CN"/>
        </w:rPr>
        <w:t>一款:</w:t>
      </w:r>
      <w:r>
        <w:rPr>
          <w:rFonts w:ascii="仿宋" w:hAnsi="仿宋" w:eastAsia="仿宋"/>
          <w:color w:val="auto"/>
          <w:sz w:val="32"/>
          <w:szCs w:val="32"/>
          <w:lang w:eastAsia="zh-CN"/>
        </w:rPr>
        <w:t xml:space="preserve"> </w:t>
      </w:r>
      <w:r>
        <w:rPr>
          <w:rFonts w:hint="eastAsia" w:ascii="仿宋" w:hAnsi="仿宋" w:eastAsia="仿宋"/>
          <w:color w:val="auto"/>
          <w:sz w:val="32"/>
          <w:szCs w:val="32"/>
          <w:lang w:eastAsia="zh-CN"/>
        </w:rPr>
        <w:t>“</w:t>
      </w:r>
      <w:r>
        <w:rPr>
          <w:rFonts w:ascii="仿宋" w:hAnsi="仿宋" w:eastAsia="仿宋"/>
          <w:color w:val="auto"/>
          <w:sz w:val="32"/>
          <w:szCs w:val="32"/>
          <w:lang w:eastAsia="zh-CN"/>
        </w:rPr>
        <w:t>药品生产、经营企业和使用单位应当按照药品标准和说明书的要求，采取相应的冷藏、防冻、防潮、避光、通风、防虫、防尘、防鼠等措施储存、运输药品，并建立药品监测、养护记录。</w:t>
      </w:r>
      <w:r>
        <w:rPr>
          <w:rFonts w:hint="eastAsia" w:ascii="仿宋" w:hAnsi="仿宋" w:eastAsia="仿宋"/>
          <w:color w:val="auto"/>
          <w:sz w:val="32"/>
          <w:szCs w:val="32"/>
          <w:lang w:eastAsia="zh-CN"/>
        </w:rPr>
        <w:t>”的规定。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鉴于当事人初次未按药品标准和说明书的要求储存药品，我局予以从轻处罚。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四、行政处罚的内容和依据</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根据</w:t>
      </w:r>
      <w:r>
        <w:rPr>
          <w:rFonts w:ascii="仿宋" w:hAnsi="仿宋" w:eastAsia="仿宋"/>
          <w:color w:val="auto"/>
          <w:sz w:val="32"/>
          <w:szCs w:val="32"/>
          <w:lang w:eastAsia="zh-CN"/>
        </w:rPr>
        <w:t>《</w:t>
      </w:r>
      <w:r>
        <w:rPr>
          <w:rFonts w:hint="eastAsia" w:ascii="仿宋" w:hAnsi="仿宋" w:eastAsia="仿宋"/>
          <w:color w:val="auto"/>
          <w:sz w:val="32"/>
          <w:szCs w:val="32"/>
          <w:lang w:eastAsia="zh-CN"/>
        </w:rPr>
        <w:t>福建省药品和医疗器械流通监督管理办法</w:t>
      </w:r>
      <w:r>
        <w:rPr>
          <w:rFonts w:ascii="仿宋" w:hAnsi="仿宋" w:eastAsia="仿宋"/>
          <w:color w:val="auto"/>
          <w:sz w:val="32"/>
          <w:szCs w:val="32"/>
          <w:lang w:eastAsia="zh-CN"/>
        </w:rPr>
        <w:t>》</w:t>
      </w:r>
      <w:r>
        <w:rPr>
          <w:rFonts w:hint="eastAsia" w:ascii="仿宋" w:hAnsi="仿宋" w:eastAsia="仿宋"/>
          <w:color w:val="auto"/>
          <w:sz w:val="32"/>
          <w:szCs w:val="32"/>
          <w:lang w:eastAsia="zh-CN"/>
        </w:rPr>
        <w:t>第三十八条第一款第三项：“有下列情形之一的，由县以上食品药品监督管理部门责令限期改正，给予警告；逾期不改正的，处以</w:t>
      </w:r>
      <w:r>
        <w:rPr>
          <w:rFonts w:ascii="仿宋" w:hAnsi="仿宋" w:eastAsia="仿宋"/>
          <w:color w:val="auto"/>
          <w:sz w:val="32"/>
          <w:szCs w:val="32"/>
          <w:lang w:eastAsia="zh-CN"/>
        </w:rPr>
        <w:t>1000</w:t>
      </w:r>
      <w:r>
        <w:rPr>
          <w:rFonts w:hint="eastAsia" w:ascii="仿宋" w:hAnsi="仿宋" w:eastAsia="仿宋"/>
          <w:color w:val="auto"/>
          <w:sz w:val="32"/>
          <w:szCs w:val="32"/>
          <w:lang w:eastAsia="zh-CN"/>
        </w:rPr>
        <w:t>元以上</w:t>
      </w:r>
      <w:r>
        <w:rPr>
          <w:rFonts w:ascii="仿宋" w:hAnsi="仿宋" w:eastAsia="仿宋"/>
          <w:color w:val="auto"/>
          <w:sz w:val="32"/>
          <w:szCs w:val="32"/>
          <w:lang w:eastAsia="zh-CN"/>
        </w:rPr>
        <w:t>1</w:t>
      </w:r>
      <w:r>
        <w:rPr>
          <w:rFonts w:hint="eastAsia" w:ascii="仿宋" w:hAnsi="仿宋" w:eastAsia="仿宋"/>
          <w:color w:val="auto"/>
          <w:sz w:val="32"/>
          <w:szCs w:val="32"/>
          <w:lang w:eastAsia="zh-CN"/>
        </w:rPr>
        <w:t>万元以下的罚款：（三）违反本办法第十二条第一款规定，药品使用单位未按规定储存、运输药品的；”的规定，我局决定对当事人作出如下行政处罚决定：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处2000元罚款。</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上述罚款，当事人应自接到本处罚决定书之日起十五日内到我局东园镇市场监督管理所开具“福建省政府非税收入缴款通知书”并到银行缴款，当事人拒不执行行政处罚决定的，我局将依照《中华人民共和国行政处罚法》第五十一条的规定，采取下列措施；（一）到期不缴纳罚款，每日按罚款数额的百分三加处罚款；（二）申请人民法院强制执行。</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当事人如不服本处罚决定,可自接到本决定书之日起六十日内向泉州市市场监督管理局或泉州台商投资区管理委员会申请复议，也可自接到本处罚书之日起六个月内直接向泉州市鲤城区人民法院起诉。</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当事人对本处罚决定不服申请行政复议或提起行政诉讼的，本处罚决定不停止执行。</w:t>
      </w: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             泉州台商投资区管理委员会市场监督管理局</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                     2020年 1月14日</w:t>
      </w: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pStyle w:val="2"/>
        <w:spacing w:line="520" w:lineRule="exact"/>
        <w:ind w:left="0"/>
        <w:jc w:val="both"/>
        <w:rPr>
          <w:rFonts w:ascii="仿宋" w:hAnsi="仿宋" w:eastAsia="仿宋"/>
          <w:color w:val="auto"/>
          <w:sz w:val="30"/>
          <w:szCs w:val="30"/>
          <w:lang w:eastAsia="zh-CN"/>
        </w:rPr>
      </w:pPr>
      <w:r>
        <w:rPr>
          <w:rFonts w:hint="eastAsia" w:ascii="仿宋" w:hAnsi="仿宋" w:eastAsia="仿宋"/>
          <w:color w:val="auto"/>
          <w:sz w:val="30"/>
          <w:szCs w:val="30"/>
          <w:lang w:eastAsia="zh-CN"/>
        </w:rPr>
        <w:t>（市场监督管理部门将依法向社会公示本行政处罚决定信息）</w:t>
      </w:r>
    </w:p>
    <w:p>
      <w:pPr>
        <w:jc w:val="both"/>
        <w:rPr>
          <w:rFonts w:ascii="仿宋_GB2312" w:eastAsia="仿宋_GB2312"/>
          <w:color w:val="auto"/>
          <w:sz w:val="32"/>
          <w:szCs w:val="32"/>
          <w:lang w:eastAsia="zh-CN"/>
        </w:rPr>
      </w:pP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9B"/>
    <w:rsid w:val="000336FD"/>
    <w:rsid w:val="0003599B"/>
    <w:rsid w:val="000545BF"/>
    <w:rsid w:val="000859D7"/>
    <w:rsid w:val="000B7FEC"/>
    <w:rsid w:val="000C2F1F"/>
    <w:rsid w:val="000F2378"/>
    <w:rsid w:val="001274B2"/>
    <w:rsid w:val="001306A0"/>
    <w:rsid w:val="00157B29"/>
    <w:rsid w:val="0019341B"/>
    <w:rsid w:val="001C28DD"/>
    <w:rsid w:val="001E6951"/>
    <w:rsid w:val="00201F26"/>
    <w:rsid w:val="002252E4"/>
    <w:rsid w:val="002558F0"/>
    <w:rsid w:val="00260BD8"/>
    <w:rsid w:val="0028627B"/>
    <w:rsid w:val="002A2B11"/>
    <w:rsid w:val="002B5A4F"/>
    <w:rsid w:val="002E120E"/>
    <w:rsid w:val="003937FA"/>
    <w:rsid w:val="003A6A35"/>
    <w:rsid w:val="003C1F4C"/>
    <w:rsid w:val="003C73B5"/>
    <w:rsid w:val="00401245"/>
    <w:rsid w:val="00416931"/>
    <w:rsid w:val="00436FDE"/>
    <w:rsid w:val="00441D15"/>
    <w:rsid w:val="00451364"/>
    <w:rsid w:val="00495A48"/>
    <w:rsid w:val="004E5227"/>
    <w:rsid w:val="004E7C72"/>
    <w:rsid w:val="00502B00"/>
    <w:rsid w:val="005335C2"/>
    <w:rsid w:val="0055020C"/>
    <w:rsid w:val="0058054D"/>
    <w:rsid w:val="00586F43"/>
    <w:rsid w:val="00590C72"/>
    <w:rsid w:val="00655F7D"/>
    <w:rsid w:val="006764F6"/>
    <w:rsid w:val="006770C7"/>
    <w:rsid w:val="00687BF3"/>
    <w:rsid w:val="006E6259"/>
    <w:rsid w:val="007575D0"/>
    <w:rsid w:val="00794997"/>
    <w:rsid w:val="007B2EF7"/>
    <w:rsid w:val="007E4BC7"/>
    <w:rsid w:val="008308D3"/>
    <w:rsid w:val="008E760C"/>
    <w:rsid w:val="009C05FF"/>
    <w:rsid w:val="00A0257F"/>
    <w:rsid w:val="00A86462"/>
    <w:rsid w:val="00A9130C"/>
    <w:rsid w:val="00AA2DD1"/>
    <w:rsid w:val="00B614D8"/>
    <w:rsid w:val="00B6419F"/>
    <w:rsid w:val="00C54131"/>
    <w:rsid w:val="00C62521"/>
    <w:rsid w:val="00C955B2"/>
    <w:rsid w:val="00CB149F"/>
    <w:rsid w:val="00CB5EDF"/>
    <w:rsid w:val="00D81E17"/>
    <w:rsid w:val="00D86BB6"/>
    <w:rsid w:val="00E64116"/>
    <w:rsid w:val="00E843B7"/>
    <w:rsid w:val="00EF1C65"/>
    <w:rsid w:val="00F44FD8"/>
    <w:rsid w:val="00F47B33"/>
    <w:rsid w:val="00F8652D"/>
    <w:rsid w:val="00FA22CA"/>
    <w:rsid w:val="00FC23DE"/>
    <w:rsid w:val="6F6D7231"/>
    <w:rsid w:val="77FA2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ind w:left="220"/>
    </w:pPr>
    <w:rPr>
      <w:rFonts w:ascii="Arial Unicode MS" w:hAnsi="Arial Unicode MS" w:eastAsia="Arial Unicode MS"/>
      <w:sz w:val="32"/>
      <w:szCs w:val="32"/>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11"/>
    <w:basedOn w:val="1"/>
    <w:qFormat/>
    <w:uiPriority w:val="0"/>
    <w:pPr>
      <w:outlineLvl w:val="1"/>
    </w:pPr>
    <w:rPr>
      <w:rFonts w:ascii="Arial Unicode MS" w:hAnsi="Arial Unicode MS" w:eastAsia="Arial Unicode MS"/>
      <w:sz w:val="42"/>
      <w:szCs w:val="42"/>
    </w:rPr>
  </w:style>
  <w:style w:type="character" w:customStyle="1" w:styleId="8">
    <w:name w:val="正文文本 Char"/>
    <w:basedOn w:val="5"/>
    <w:link w:val="2"/>
    <w:semiHidden/>
    <w:qFormat/>
    <w:locked/>
    <w:uiPriority w:val="0"/>
    <w:rPr>
      <w:rFonts w:ascii="Arial Unicode MS" w:hAnsi="Arial Unicode MS" w:eastAsia="Arial Unicode MS"/>
      <w:sz w:val="32"/>
      <w:szCs w:val="3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313</Words>
  <Characters>1789</Characters>
  <Lines>14</Lines>
  <Paragraphs>4</Paragraphs>
  <TotalTime>4</TotalTime>
  <ScaleCrop>false</ScaleCrop>
  <LinksUpToDate>false</LinksUpToDate>
  <CharactersWithSpaces>2098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2020-01-14T09:07:00Z</dcterms:created>
  <dc:creator>陈玉韵</dc:creator>
  <cp:lastModifiedBy>PC</cp:lastModifiedBy>
  <cp:lastPrinted>2019-11-14T09:06:00Z</cp:lastPrinted>
  <dcterms:modified xsi:type="dcterms:W3CDTF">2020-01-16T06:57:22Z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